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Pr="00FF557A" w:rsidRDefault="008E201C" w:rsidP="008E201C">
      <w:pPr>
        <w:pStyle w:val="NormalWeb"/>
        <w:spacing w:before="0" w:beforeAutospacing="0" w:after="0" w:afterAutospacing="0"/>
        <w:jc w:val="both"/>
        <w:rPr>
          <w:rFonts w:ascii="Arial" w:eastAsiaTheme="majorEastAsia" w:hAnsi="Arial" w:cs="Arial"/>
          <w:b/>
          <w:bCs/>
          <w:caps/>
          <w:color w:val="002F5D"/>
          <w:sz w:val="22"/>
          <w:szCs w:val="22"/>
        </w:rPr>
      </w:pPr>
      <w:bookmarkStart w:id="0" w:name="OLE_LINK25"/>
      <w:bookmarkStart w:id="1" w:name="OLE_LINK26"/>
      <w:r w:rsidRPr="00FF557A">
        <w:rPr>
          <w:rFonts w:ascii="Arial" w:eastAsiaTheme="majorEastAsia" w:hAnsi="Arial" w:cs="Arial"/>
          <w:b/>
          <w:bCs/>
          <w:caps/>
          <w:color w:val="002F5D"/>
          <w:sz w:val="22"/>
          <w:szCs w:val="22"/>
        </w:rPr>
        <w:t>NACIONaLES</w:t>
      </w:r>
      <w:bookmarkEnd w:id="0"/>
      <w:bookmarkEnd w:id="1"/>
    </w:p>
    <w:p w:rsidR="004B449C" w:rsidRDefault="004B449C" w:rsidP="008E201C">
      <w:pPr>
        <w:pStyle w:val="NormalWeb"/>
        <w:spacing w:before="0" w:beforeAutospacing="0" w:after="0" w:afterAutospacing="0"/>
        <w:jc w:val="both"/>
        <w:rPr>
          <w:rFonts w:ascii="Arial" w:eastAsiaTheme="majorEastAsia" w:hAnsi="Arial" w:cs="Arial"/>
          <w:b/>
          <w:bCs/>
          <w:caps/>
          <w:color w:val="002F5D"/>
          <w:sz w:val="22"/>
          <w:szCs w:val="22"/>
        </w:rPr>
      </w:pPr>
    </w:p>
    <w:p w:rsidR="0072282B" w:rsidRPr="00FF557A" w:rsidRDefault="0072282B" w:rsidP="0072282B">
      <w:pPr>
        <w:pStyle w:val="NormalWeb"/>
        <w:spacing w:before="0" w:beforeAutospacing="0" w:after="0" w:afterAutospacing="0"/>
        <w:jc w:val="both"/>
        <w:rPr>
          <w:rFonts w:ascii="Arial" w:hAnsi="Arial" w:cs="Arial"/>
          <w:b/>
          <w:bCs/>
          <w:caps/>
          <w:color w:val="376889"/>
          <w:sz w:val="20"/>
          <w:szCs w:val="20"/>
        </w:rPr>
      </w:pPr>
      <w:r w:rsidRPr="00FF557A">
        <w:rPr>
          <w:rFonts w:ascii="Arial" w:hAnsi="Arial" w:cs="Arial"/>
          <w:b/>
          <w:bCs/>
          <w:caps/>
          <w:color w:val="376889"/>
          <w:sz w:val="20"/>
          <w:szCs w:val="20"/>
        </w:rPr>
        <w:t>Procedimiento Fiscal. Se modifican las tasas de interés resarcitorio y punitorio previstas en la ley de procedimiento tributario - RESOLUCIÓN (Min. Hacienda) 50/2019</w:t>
      </w:r>
    </w:p>
    <w:p w:rsidR="00844AE1" w:rsidRDefault="00844AE1" w:rsidP="00844AE1">
      <w:pPr>
        <w:pStyle w:val="NormalWeb"/>
        <w:spacing w:before="0" w:beforeAutospacing="0" w:after="0" w:afterAutospacing="0"/>
        <w:jc w:val="both"/>
        <w:rPr>
          <w:rFonts w:ascii="Arial" w:hAnsi="Arial" w:cs="Arial"/>
          <w:b/>
          <w:bCs/>
          <w:caps/>
          <w:color w:val="376889"/>
          <w:sz w:val="21"/>
          <w:szCs w:val="21"/>
        </w:rPr>
      </w:pPr>
    </w:p>
    <w:p w:rsidR="0072282B" w:rsidRDefault="0072282B" w:rsidP="00844AE1">
      <w:pPr>
        <w:pStyle w:val="NormalWeb"/>
        <w:spacing w:before="0" w:beforeAutospacing="0" w:after="0" w:afterAutospacing="0" w:line="360" w:lineRule="auto"/>
        <w:jc w:val="both"/>
        <w:rPr>
          <w:rFonts w:ascii="Arial" w:eastAsia="Times New Roman" w:hAnsi="Arial" w:cs="Arial"/>
          <w:b/>
          <w:bCs/>
          <w:color w:val="666666"/>
          <w:sz w:val="18"/>
          <w:szCs w:val="18"/>
        </w:rPr>
      </w:pPr>
      <w:r w:rsidRPr="0072282B">
        <w:rPr>
          <w:rFonts w:ascii="Arial" w:eastAsia="Times New Roman" w:hAnsi="Arial" w:cs="Arial"/>
          <w:b/>
          <w:bCs/>
          <w:color w:val="666666"/>
          <w:sz w:val="18"/>
          <w:szCs w:val="18"/>
        </w:rPr>
        <w:t>Se modifican las tasas de interés resarcitorio y punitorio mensual, previstas en la ley de procedimiento fiscal, aplicables a partir del 1/4/2019.</w:t>
      </w:r>
    </w:p>
    <w:p w:rsidR="0072282B" w:rsidRDefault="0072282B" w:rsidP="00844AE1">
      <w:pPr>
        <w:pStyle w:val="NormalWeb"/>
        <w:spacing w:before="0" w:beforeAutospacing="0" w:after="0" w:afterAutospacing="0" w:line="360" w:lineRule="auto"/>
        <w:jc w:val="both"/>
        <w:rPr>
          <w:rFonts w:ascii="Arial" w:eastAsia="Times New Roman" w:hAnsi="Arial" w:cs="Arial"/>
          <w:b/>
          <w:bCs/>
          <w:color w:val="666666"/>
          <w:sz w:val="18"/>
          <w:szCs w:val="18"/>
        </w:rPr>
      </w:pPr>
      <w:r w:rsidRPr="0072282B">
        <w:rPr>
          <w:rFonts w:ascii="Arial" w:eastAsia="Times New Roman" w:hAnsi="Arial" w:cs="Arial"/>
          <w:b/>
          <w:bCs/>
          <w:color w:val="666666"/>
          <w:sz w:val="18"/>
          <w:szCs w:val="18"/>
        </w:rPr>
        <w:t>A tal efecto, se establece que las tasas vigentes en cada trimestre calendario serán las siguientes:</w:t>
      </w:r>
    </w:p>
    <w:p w:rsidR="0072282B" w:rsidRDefault="0072282B" w:rsidP="00844AE1">
      <w:pPr>
        <w:pStyle w:val="NormalWeb"/>
        <w:spacing w:before="0" w:beforeAutospacing="0" w:after="0" w:afterAutospacing="0" w:line="360" w:lineRule="auto"/>
        <w:jc w:val="both"/>
        <w:rPr>
          <w:rFonts w:ascii="Arial" w:eastAsia="Times New Roman" w:hAnsi="Arial" w:cs="Arial"/>
          <w:b/>
          <w:bCs/>
          <w:color w:val="666666"/>
          <w:sz w:val="18"/>
          <w:szCs w:val="18"/>
        </w:rPr>
      </w:pPr>
      <w:r w:rsidRPr="0072282B">
        <w:rPr>
          <w:rFonts w:ascii="Arial" w:eastAsia="Times New Roman" w:hAnsi="Arial" w:cs="Arial"/>
          <w:b/>
          <w:bCs/>
          <w:color w:val="666666"/>
          <w:sz w:val="18"/>
          <w:szCs w:val="18"/>
        </w:rPr>
        <w:t>* Interés resarcitorio mensual: efectiva mensual equivalente a 1,2 veces la tasa nominal anual canal electrónico para depósitos a plazo fijo en pesos a 180 días del Banco de la Nación Argentina vigente el día 20 del mes inmediato anterior al inicio del trimestre correspondiente.</w:t>
      </w:r>
    </w:p>
    <w:p w:rsidR="0072282B" w:rsidRDefault="0072282B" w:rsidP="00844AE1">
      <w:pPr>
        <w:pStyle w:val="NormalWeb"/>
        <w:spacing w:before="0" w:beforeAutospacing="0" w:after="0" w:afterAutospacing="0" w:line="360" w:lineRule="auto"/>
        <w:jc w:val="both"/>
        <w:rPr>
          <w:rFonts w:ascii="Arial" w:eastAsia="Times New Roman" w:hAnsi="Arial" w:cs="Arial"/>
          <w:b/>
          <w:bCs/>
          <w:color w:val="666666"/>
          <w:sz w:val="18"/>
          <w:szCs w:val="18"/>
        </w:rPr>
      </w:pPr>
      <w:r w:rsidRPr="0072282B">
        <w:rPr>
          <w:rFonts w:ascii="Arial" w:eastAsia="Times New Roman" w:hAnsi="Arial" w:cs="Arial"/>
          <w:b/>
          <w:bCs/>
          <w:color w:val="666666"/>
          <w:sz w:val="18"/>
          <w:szCs w:val="18"/>
        </w:rPr>
        <w:t>* Interés punitorio mensual: efectiva mensual equivalente a 1,5 veces la tasa nominal anual canal electrónico para depósitos a plazo fijo en pesos a 180 días del Banco de la Nación Argentina vigente el día 20 del mes inmediato anterior al inicio del trimestre correspondiente.</w:t>
      </w:r>
    </w:p>
    <w:p w:rsidR="0072282B" w:rsidRDefault="0072282B" w:rsidP="00844AE1">
      <w:pPr>
        <w:pStyle w:val="NormalWeb"/>
        <w:spacing w:before="0" w:beforeAutospacing="0" w:after="0" w:afterAutospacing="0" w:line="360" w:lineRule="auto"/>
        <w:jc w:val="both"/>
        <w:rPr>
          <w:rFonts w:ascii="Arial" w:eastAsia="Times New Roman" w:hAnsi="Arial" w:cs="Arial"/>
          <w:b/>
          <w:bCs/>
          <w:color w:val="666666"/>
          <w:sz w:val="18"/>
          <w:szCs w:val="18"/>
        </w:rPr>
      </w:pPr>
      <w:r w:rsidRPr="0072282B">
        <w:rPr>
          <w:rFonts w:ascii="Arial" w:eastAsia="Times New Roman" w:hAnsi="Arial" w:cs="Arial"/>
          <w:b/>
          <w:bCs/>
          <w:color w:val="666666"/>
          <w:sz w:val="18"/>
          <w:szCs w:val="18"/>
        </w:rPr>
        <w:t>Señalamos que, a los efectos de cancelar obligaciones cuyo vencimiento hubiera operado hasta el 28/2/2019, se aplicarán las tasas vigentes a cada uno de los períodos cancelados.</w:t>
      </w:r>
    </w:p>
    <w:p w:rsidR="004B449C" w:rsidRPr="00844AE1" w:rsidRDefault="0072282B" w:rsidP="00844AE1">
      <w:pPr>
        <w:pStyle w:val="NormalWeb"/>
        <w:spacing w:before="0" w:beforeAutospacing="0" w:after="0" w:afterAutospacing="0" w:line="360" w:lineRule="auto"/>
        <w:jc w:val="both"/>
        <w:rPr>
          <w:rFonts w:ascii="Arial" w:eastAsia="Times New Roman" w:hAnsi="Arial" w:cs="Arial"/>
          <w:b/>
          <w:bCs/>
          <w:color w:val="666666"/>
          <w:sz w:val="18"/>
          <w:szCs w:val="18"/>
        </w:rPr>
      </w:pPr>
      <w:r w:rsidRPr="0072282B">
        <w:rPr>
          <w:rFonts w:ascii="Arial" w:eastAsia="Times New Roman" w:hAnsi="Arial" w:cs="Arial"/>
          <w:b/>
          <w:bCs/>
          <w:color w:val="666666"/>
          <w:sz w:val="18"/>
          <w:szCs w:val="18"/>
        </w:rPr>
        <w:t>Por último, destacamos que hasta la aplicación de las nuevas tasas, entre el 1/3/2019 y el 31/3/2019, se aplicará el 4,5% como tasa de interés resarcitorio y el 5,6% de interés punitorio mensual.</w:t>
      </w:r>
    </w:p>
    <w:p w:rsidR="00DC197E" w:rsidRDefault="00DC197E" w:rsidP="008E201C">
      <w:pPr>
        <w:pStyle w:val="NormalWeb"/>
        <w:spacing w:before="0" w:beforeAutospacing="0" w:after="0" w:afterAutospacing="0"/>
        <w:jc w:val="both"/>
        <w:rPr>
          <w:rFonts w:ascii="Arial" w:eastAsiaTheme="majorEastAsia" w:hAnsi="Arial" w:cs="Arial"/>
          <w:b/>
          <w:bCs/>
          <w:caps/>
          <w:color w:val="002F5D"/>
          <w:sz w:val="22"/>
          <w:szCs w:val="22"/>
        </w:rPr>
      </w:pPr>
    </w:p>
    <w:p w:rsidR="00D12E6C" w:rsidRPr="00FF557A" w:rsidRDefault="00D12E6C" w:rsidP="00D12E6C">
      <w:pPr>
        <w:jc w:val="both"/>
        <w:rPr>
          <w:rFonts w:ascii="Arial" w:hAnsi="Arial" w:cs="Arial"/>
          <w:b/>
          <w:bCs/>
          <w:caps/>
          <w:color w:val="376889"/>
          <w:sz w:val="20"/>
          <w:szCs w:val="20"/>
        </w:rPr>
      </w:pPr>
      <w:r w:rsidRPr="00FF557A">
        <w:rPr>
          <w:rFonts w:ascii="Arial" w:hAnsi="Arial" w:cs="Arial"/>
          <w:b/>
          <w:bCs/>
          <w:caps/>
          <w:color w:val="376889"/>
          <w:sz w:val="20"/>
          <w:szCs w:val="20"/>
        </w:rPr>
        <w:t>Procedimiento Fiscal. Actividad financiera. Regímenes de información y registración. Operaciones con instrumentos y/o contratos derivados. Plazo especial de registración hasta el 29/3/2019 - RESOLUCIÓN GENERAL (</w:t>
      </w:r>
      <w:proofErr w:type="spellStart"/>
      <w:r w:rsidRPr="00FF557A">
        <w:rPr>
          <w:rFonts w:ascii="Arial" w:hAnsi="Arial" w:cs="Arial"/>
          <w:b/>
          <w:bCs/>
          <w:caps/>
          <w:color w:val="376889"/>
          <w:sz w:val="20"/>
          <w:szCs w:val="20"/>
        </w:rPr>
        <w:t>Adm</w:t>
      </w:r>
      <w:proofErr w:type="spellEnd"/>
      <w:r w:rsidRPr="00FF557A">
        <w:rPr>
          <w:rFonts w:ascii="Arial" w:hAnsi="Arial" w:cs="Arial"/>
          <w:b/>
          <w:bCs/>
          <w:caps/>
          <w:color w:val="376889"/>
          <w:sz w:val="20"/>
          <w:szCs w:val="20"/>
        </w:rPr>
        <w:t>. Fed. Ingresos Públicos) 4417</w:t>
      </w:r>
    </w:p>
    <w:p w:rsidR="00D12E6C" w:rsidRDefault="00D12E6C" w:rsidP="00D12E6C">
      <w:pPr>
        <w:pStyle w:val="NormalWeb"/>
        <w:spacing w:before="0" w:beforeAutospacing="0" w:after="0" w:afterAutospacing="0"/>
        <w:jc w:val="both"/>
        <w:rPr>
          <w:rFonts w:ascii="Arial" w:hAnsi="Arial" w:cs="Arial"/>
          <w:b/>
          <w:bCs/>
          <w:caps/>
          <w:color w:val="376889"/>
          <w:sz w:val="21"/>
          <w:szCs w:val="21"/>
        </w:rPr>
      </w:pPr>
    </w:p>
    <w:p w:rsidR="004B449C" w:rsidRDefault="004B449C" w:rsidP="004B449C">
      <w:pPr>
        <w:pStyle w:val="NormalWeb"/>
        <w:spacing w:before="0" w:beforeAutospacing="0" w:after="0" w:afterAutospacing="0"/>
        <w:jc w:val="both"/>
        <w:rPr>
          <w:rFonts w:ascii="Arial" w:hAnsi="Arial" w:cs="Arial"/>
          <w:b/>
          <w:bCs/>
          <w:caps/>
          <w:color w:val="376889"/>
          <w:sz w:val="21"/>
          <w:szCs w:val="21"/>
        </w:rPr>
      </w:pPr>
    </w:p>
    <w:p w:rsidR="004B449C" w:rsidRDefault="00D12E6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D12E6C">
        <w:rPr>
          <w:rFonts w:ascii="Arial" w:eastAsia="Times New Roman" w:hAnsi="Arial" w:cs="Arial"/>
          <w:b/>
          <w:bCs/>
          <w:color w:val="666666"/>
          <w:sz w:val="18"/>
          <w:szCs w:val="18"/>
        </w:rPr>
        <w:t>Se establece un plazo especial, hasta el 29/3/2019, para la registración de las operaciones realizadas con instrumentos y/o contratos derivados por parte de los mercados autorizados por la Comisión Nacional de Valores correspondientes a los períodos mensuales desde mayo de 2018 hasta febrero de 2019, cuyos vencimientos operaron u operan entre los meses de junio de 2018 y marzo de 2019, como consecuencia de haberse reportado ciertos inconvenientes en la utilización del sistema informático habilitado a tal f</w:t>
      </w:r>
      <w:r>
        <w:rPr>
          <w:rFonts w:ascii="Arial" w:eastAsia="Times New Roman" w:hAnsi="Arial" w:cs="Arial"/>
          <w:b/>
          <w:bCs/>
          <w:color w:val="666666"/>
          <w:sz w:val="18"/>
          <w:szCs w:val="18"/>
        </w:rPr>
        <w:t>in</w:t>
      </w:r>
      <w:r w:rsidR="004B449C">
        <w:rPr>
          <w:rFonts w:ascii="Arial" w:eastAsia="Times New Roman" w:hAnsi="Arial" w:cs="Arial"/>
          <w:b/>
          <w:bCs/>
          <w:color w:val="666666"/>
          <w:sz w:val="18"/>
          <w:szCs w:val="18"/>
        </w:rPr>
        <w:t>.</w:t>
      </w:r>
    </w:p>
    <w:p w:rsidR="004B449C" w:rsidRP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p>
    <w:p w:rsidR="00D12E6C" w:rsidRPr="00FF557A" w:rsidRDefault="00D12E6C" w:rsidP="00D12E6C">
      <w:pPr>
        <w:jc w:val="both"/>
        <w:rPr>
          <w:rFonts w:ascii="Arial" w:eastAsia="Times New Roman" w:hAnsi="Arial" w:cs="Arial"/>
          <w:b/>
          <w:bCs/>
          <w:color w:val="FCC400"/>
          <w:sz w:val="20"/>
          <w:szCs w:val="20"/>
        </w:rPr>
      </w:pPr>
      <w:r w:rsidRPr="00FF557A">
        <w:rPr>
          <w:rFonts w:ascii="Arial" w:hAnsi="Arial" w:cs="Arial"/>
          <w:b/>
          <w:bCs/>
          <w:caps/>
          <w:color w:val="376889"/>
          <w:sz w:val="20"/>
          <w:szCs w:val="20"/>
        </w:rPr>
        <w:t>Regímenes Especiales. Deuda pública. Letras del Tesoro en Dólares Estadounidenses con vencimiento 13 de setiembre de 2019 - RESOLUCIÓN CONJUNTA (Sec. Hacienda - Sec. Finanzas) 11/2019</w:t>
      </w:r>
    </w:p>
    <w:p w:rsidR="00844AE1" w:rsidRDefault="00844AE1" w:rsidP="00844AE1">
      <w:pPr>
        <w:pStyle w:val="NormalWeb"/>
        <w:spacing w:before="0" w:beforeAutospacing="0" w:after="0" w:afterAutospacing="0"/>
        <w:jc w:val="both"/>
        <w:rPr>
          <w:rFonts w:ascii="Arial" w:hAnsi="Arial" w:cs="Arial"/>
          <w:b/>
          <w:bCs/>
          <w:caps/>
          <w:color w:val="376889"/>
          <w:sz w:val="21"/>
          <w:szCs w:val="21"/>
        </w:rPr>
      </w:pPr>
    </w:p>
    <w:p w:rsidR="004B449C" w:rsidRDefault="004B449C" w:rsidP="004B449C">
      <w:pPr>
        <w:pStyle w:val="NormalWeb"/>
        <w:spacing w:before="0" w:beforeAutospacing="0" w:after="0" w:afterAutospacing="0"/>
        <w:jc w:val="both"/>
        <w:rPr>
          <w:rFonts w:ascii="Arial" w:hAnsi="Arial" w:cs="Arial"/>
          <w:b/>
          <w:bCs/>
          <w:caps/>
          <w:color w:val="376889"/>
          <w:sz w:val="21"/>
          <w:szCs w:val="21"/>
        </w:rPr>
      </w:pPr>
    </w:p>
    <w:p w:rsidR="00D12E6C" w:rsidRDefault="00D12E6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D12E6C">
        <w:rPr>
          <w:rFonts w:ascii="Arial" w:eastAsia="Times New Roman" w:hAnsi="Arial" w:cs="Arial"/>
          <w:b/>
          <w:bCs/>
          <w:color w:val="666666"/>
          <w:sz w:val="18"/>
          <w:szCs w:val="18"/>
        </w:rPr>
        <w:t xml:space="preserve">Se dispone que las Letras del Tesoro en Dólares Estadounidenses con vencimiento 13 de setiembre de 2019, emitidas conforme a la presente disposición, gozan de todas las exenciones impositivas dispuestas por las leyes y reglamentaciones en la materia. </w:t>
      </w:r>
    </w:p>
    <w:p w:rsidR="004B449C" w:rsidRPr="004B449C" w:rsidRDefault="00D12E6C" w:rsidP="004B449C">
      <w:pPr>
        <w:pStyle w:val="NormalWeb"/>
        <w:spacing w:before="0" w:beforeAutospacing="0" w:after="0" w:afterAutospacing="0" w:line="360" w:lineRule="auto"/>
        <w:jc w:val="both"/>
        <w:rPr>
          <w:rFonts w:ascii="Arial" w:eastAsia="Times New Roman" w:hAnsi="Arial" w:cs="Arial"/>
          <w:b/>
          <w:bCs/>
          <w:color w:val="666666"/>
          <w:sz w:val="18"/>
          <w:szCs w:val="18"/>
        </w:rPr>
      </w:pPr>
      <w:r w:rsidRPr="00D12E6C">
        <w:rPr>
          <w:rFonts w:ascii="Arial" w:eastAsia="Times New Roman" w:hAnsi="Arial" w:cs="Arial"/>
          <w:b/>
          <w:bCs/>
          <w:color w:val="666666"/>
          <w:sz w:val="18"/>
          <w:szCs w:val="18"/>
        </w:rPr>
        <w:lastRenderedPageBreak/>
        <w:t>Recordamos que la ley de reforma tributaria -L. 27430-, al incorporar el artículo 90.1 (impuesto cedular) en la ley del impuesto a las ganancias, grava con dicho impuesto la generación de renta financiera para las personas humanas</w:t>
      </w:r>
      <w:r w:rsidR="004B449C">
        <w:rPr>
          <w:rFonts w:ascii="Arial" w:eastAsia="Times New Roman" w:hAnsi="Arial" w:cs="Arial"/>
          <w:b/>
          <w:bCs/>
          <w:color w:val="666666"/>
          <w:sz w:val="18"/>
          <w:szCs w:val="18"/>
        </w:rPr>
        <w:t>.</w:t>
      </w: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p>
    <w:p w:rsidR="004B449C" w:rsidRPr="004B449C" w:rsidRDefault="004B449C" w:rsidP="00567FFD">
      <w:pPr>
        <w:pStyle w:val="NormalWeb"/>
        <w:spacing w:before="0" w:beforeAutospacing="0" w:after="0" w:afterAutospacing="0" w:line="360" w:lineRule="auto"/>
        <w:jc w:val="both"/>
        <w:rPr>
          <w:rFonts w:ascii="Arial" w:hAnsi="Arial" w:cs="Arial"/>
          <w:b/>
          <w:bCs/>
          <w:caps/>
          <w:color w:val="002F5D"/>
          <w:sz w:val="21"/>
          <w:szCs w:val="21"/>
        </w:rPr>
      </w:pPr>
      <w:r w:rsidRPr="00FF557A">
        <w:rPr>
          <w:rFonts w:ascii="Arial" w:hAnsi="Arial" w:cs="Arial"/>
          <w:b/>
          <w:bCs/>
          <w:caps/>
          <w:color w:val="002F5D"/>
          <w:sz w:val="22"/>
          <w:szCs w:val="22"/>
        </w:rPr>
        <w:t>PROVINCIALES</w:t>
      </w:r>
      <w:r w:rsidR="00844AE1">
        <w:rPr>
          <w:rFonts w:ascii="Arial" w:hAnsi="Arial" w:cs="Arial"/>
          <w:b/>
          <w:bCs/>
          <w:caps/>
          <w:color w:val="002F5D"/>
          <w:sz w:val="21"/>
          <w:szCs w:val="21"/>
        </w:rPr>
        <w:t xml:space="preserve"> – SANTA FE</w:t>
      </w:r>
    </w:p>
    <w:p w:rsidR="00844AE1" w:rsidRPr="00FF557A" w:rsidRDefault="00D12E6C" w:rsidP="00844AE1">
      <w:pPr>
        <w:pStyle w:val="NormalWeb"/>
        <w:spacing w:before="0" w:beforeAutospacing="0" w:after="0" w:afterAutospacing="0"/>
        <w:jc w:val="both"/>
        <w:rPr>
          <w:rFonts w:ascii="Arial" w:hAnsi="Arial" w:cs="Arial"/>
          <w:b/>
          <w:bCs/>
          <w:caps/>
          <w:color w:val="002F5D"/>
          <w:sz w:val="20"/>
          <w:szCs w:val="20"/>
        </w:rPr>
      </w:pPr>
      <w:r w:rsidRPr="00FF557A">
        <w:rPr>
          <w:rFonts w:ascii="Arial" w:hAnsi="Arial" w:cs="Arial"/>
          <w:b/>
          <w:bCs/>
          <w:caps/>
          <w:color w:val="002F5D"/>
          <w:sz w:val="20"/>
          <w:szCs w:val="20"/>
        </w:rPr>
        <w:t>AGENTES DE RETENCIÓN Y/O PERCEPCIÓN DEL IMPUESTO SOBRE LOS INGRESOS BRUTOS. NOTA ENVIADA A LA API SOLICITANDO LA APLICACIÓN OPTATIVA DEL SISTEMA SIRCAR DURANTE EL PRIMER MES</w:t>
      </w:r>
    </w:p>
    <w:p w:rsidR="00DB660E" w:rsidRDefault="00DB660E" w:rsidP="00567FFD">
      <w:pPr>
        <w:pStyle w:val="NormalWeb"/>
        <w:spacing w:before="0" w:beforeAutospacing="0" w:after="0" w:afterAutospacing="0" w:line="360" w:lineRule="auto"/>
        <w:jc w:val="both"/>
        <w:rPr>
          <w:rFonts w:ascii="Arial" w:hAnsi="Arial" w:cs="Arial"/>
          <w:b/>
          <w:bCs/>
          <w:caps/>
          <w:color w:val="002F5D"/>
          <w:sz w:val="21"/>
          <w:szCs w:val="21"/>
        </w:rPr>
      </w:pPr>
    </w:p>
    <w:p w:rsidR="00B22B01" w:rsidRDefault="00D12E6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D12E6C">
        <w:rPr>
          <w:rFonts w:ascii="Arial" w:eastAsia="Times New Roman" w:hAnsi="Arial" w:cs="Arial"/>
          <w:b/>
          <w:bCs/>
          <w:color w:val="666666"/>
          <w:sz w:val="18"/>
          <w:szCs w:val="20"/>
        </w:rPr>
        <w:t xml:space="preserve">Las Instituciones Profesionales (CPCE y CGCE de Rosario) presentaron al Administrador Provincial de Impuestos, el doctor CP Luciano </w:t>
      </w:r>
      <w:proofErr w:type="spellStart"/>
      <w:r w:rsidRPr="00D12E6C">
        <w:rPr>
          <w:rFonts w:ascii="Arial" w:eastAsia="Times New Roman" w:hAnsi="Arial" w:cs="Arial"/>
          <w:b/>
          <w:bCs/>
          <w:color w:val="666666"/>
          <w:sz w:val="18"/>
          <w:szCs w:val="20"/>
        </w:rPr>
        <w:t>Mohamad</w:t>
      </w:r>
      <w:proofErr w:type="spellEnd"/>
      <w:r w:rsidRPr="00D12E6C">
        <w:rPr>
          <w:rFonts w:ascii="Arial" w:eastAsia="Times New Roman" w:hAnsi="Arial" w:cs="Arial"/>
          <w:b/>
          <w:bCs/>
          <w:color w:val="666666"/>
          <w:sz w:val="18"/>
          <w:szCs w:val="20"/>
        </w:rPr>
        <w:t>, nota solicitando que la aplicación obligatoria a partir de la primera quincena del mes de febrero de 2019 del aplicativo SIRCAR para contribuyentes alcanzados por las normas de Convenio Multilateral que actúan como agentes de retención y/o percepción del impuesto sobre los ingresos brutos en la Provincia -RG (API Santa Fe) 32/2018- sea optativa durante el primer mes, debido a inconvenientes prácticos que genera la puesta en marcha del mismo</w:t>
      </w:r>
      <w:r w:rsidR="00844AE1">
        <w:rPr>
          <w:rFonts w:ascii="Arial" w:eastAsia="Times New Roman" w:hAnsi="Arial" w:cs="Arial"/>
          <w:b/>
          <w:bCs/>
          <w:color w:val="666666"/>
          <w:sz w:val="18"/>
          <w:szCs w:val="18"/>
        </w:rPr>
        <w:t>.</w:t>
      </w:r>
    </w:p>
    <w:p w:rsidR="00844AE1" w:rsidRPr="00B32C00" w:rsidRDefault="00844AE1" w:rsidP="00567FFD">
      <w:pPr>
        <w:pStyle w:val="NormalWeb"/>
        <w:spacing w:before="0" w:beforeAutospacing="0" w:after="0" w:afterAutospacing="0" w:line="360" w:lineRule="auto"/>
        <w:jc w:val="both"/>
        <w:rPr>
          <w:rFonts w:ascii="Arial" w:hAnsi="Arial" w:cs="Arial"/>
          <w:b/>
          <w:bCs/>
          <w:caps/>
          <w:color w:val="002F5D"/>
          <w:sz w:val="21"/>
          <w:szCs w:val="21"/>
        </w:rPr>
      </w:pPr>
    </w:p>
    <w:p w:rsidR="0089551F" w:rsidRPr="00B32C00" w:rsidRDefault="0089551F" w:rsidP="00567FFD">
      <w:pPr>
        <w:pStyle w:val="NormalWeb"/>
        <w:spacing w:before="0" w:beforeAutospacing="0" w:after="0" w:afterAutospacing="0" w:line="360" w:lineRule="auto"/>
        <w:jc w:val="both"/>
        <w:rPr>
          <w:rFonts w:ascii="Arial" w:hAnsi="Arial" w:cs="Arial"/>
          <w:b/>
          <w:bCs/>
          <w:caps/>
          <w:color w:val="002F5D"/>
          <w:sz w:val="21"/>
          <w:szCs w:val="21"/>
        </w:rPr>
      </w:pPr>
      <w:r w:rsidRPr="00FF557A">
        <w:rPr>
          <w:rFonts w:ascii="Arial" w:hAnsi="Arial" w:cs="Arial"/>
          <w:b/>
          <w:bCs/>
          <w:caps/>
          <w:color w:val="002F5D"/>
          <w:sz w:val="22"/>
          <w:szCs w:val="22"/>
        </w:rPr>
        <w:t>MUNICIPALIDAD</w:t>
      </w:r>
      <w:r w:rsidRPr="00B32C00">
        <w:rPr>
          <w:rFonts w:ascii="Arial" w:hAnsi="Arial" w:cs="Arial"/>
          <w:b/>
          <w:bCs/>
          <w:caps/>
          <w:color w:val="002F5D"/>
          <w:sz w:val="21"/>
          <w:szCs w:val="21"/>
        </w:rPr>
        <w:t xml:space="preserve"> DE ROSARIO</w:t>
      </w:r>
    </w:p>
    <w:p w:rsidR="0089551F" w:rsidRPr="00FF557A" w:rsidRDefault="0089551F" w:rsidP="00B32C00">
      <w:pPr>
        <w:pStyle w:val="NormalWeb"/>
        <w:spacing w:before="0" w:beforeAutospacing="0" w:after="0" w:afterAutospacing="0" w:line="360" w:lineRule="auto"/>
        <w:jc w:val="both"/>
        <w:rPr>
          <w:rFonts w:ascii="Arial" w:hAnsi="Arial" w:cs="Arial"/>
          <w:b/>
          <w:bCs/>
          <w:caps/>
          <w:color w:val="002F5D"/>
          <w:sz w:val="20"/>
          <w:szCs w:val="20"/>
        </w:rPr>
      </w:pPr>
      <w:r w:rsidRPr="00FF557A">
        <w:rPr>
          <w:rFonts w:ascii="Arial" w:hAnsi="Arial" w:cs="Arial"/>
          <w:b/>
          <w:bCs/>
          <w:caps/>
          <w:color w:val="002F5D"/>
          <w:sz w:val="20"/>
          <w:szCs w:val="20"/>
        </w:rPr>
        <w:t xml:space="preserve">Prórroga Programa Apoyo a la Actividad Económica y el Empleo – Renovación Automática </w:t>
      </w:r>
    </w:p>
    <w:p w:rsidR="0089551F" w:rsidRPr="00B32C00" w:rsidRDefault="0089551F" w:rsidP="00B32C00">
      <w:pPr>
        <w:spacing w:before="100" w:beforeAutospacing="1" w:after="100" w:afterAutospacing="1" w:line="360" w:lineRule="auto"/>
        <w:jc w:val="both"/>
        <w:rPr>
          <w:rFonts w:ascii="Arial" w:eastAsia="Times New Roman" w:hAnsi="Arial" w:cs="Arial"/>
          <w:b/>
          <w:bCs/>
          <w:color w:val="666666"/>
          <w:sz w:val="18"/>
          <w:szCs w:val="20"/>
        </w:rPr>
      </w:pPr>
      <w:r w:rsidRPr="00B32C00">
        <w:rPr>
          <w:rFonts w:ascii="Arial" w:eastAsia="Times New Roman" w:hAnsi="Arial" w:cs="Arial"/>
          <w:b/>
          <w:bCs/>
          <w:color w:val="666666"/>
          <w:sz w:val="18"/>
          <w:szCs w:val="20"/>
        </w:rPr>
        <w:t>La Municipalidad de Rosario por medio del decreto N° 0055/2019, decide prorrogar la vigencia del Programa Especial de “Apoyo a la Actividad Económica y el Empleo” creado por el Decreto N° 1440/2018, por el plazo de un año.</w:t>
      </w:r>
    </w:p>
    <w:p w:rsidR="0089551F" w:rsidRPr="00B32C00" w:rsidRDefault="0089551F" w:rsidP="00B32C00">
      <w:pPr>
        <w:pStyle w:val="NormalWeb"/>
        <w:spacing w:before="0" w:beforeAutospacing="0" w:after="0" w:afterAutospacing="0" w:line="360" w:lineRule="auto"/>
        <w:jc w:val="both"/>
        <w:rPr>
          <w:rFonts w:ascii="Arial" w:eastAsia="Times New Roman" w:hAnsi="Arial" w:cs="Arial"/>
          <w:b/>
          <w:bCs/>
          <w:color w:val="666666"/>
          <w:sz w:val="18"/>
          <w:szCs w:val="20"/>
        </w:rPr>
      </w:pPr>
      <w:r w:rsidRPr="00B32C00">
        <w:rPr>
          <w:rFonts w:ascii="Arial" w:eastAsia="Times New Roman" w:hAnsi="Arial" w:cs="Arial"/>
          <w:b/>
          <w:bCs/>
          <w:color w:val="666666"/>
          <w:sz w:val="18"/>
          <w:szCs w:val="20"/>
        </w:rPr>
        <w:t xml:space="preserve">De esta manera todas aquellas habilitaciones otorgadas para desarrollar actividades económicas en el ejido de la ciudad de Rosario cuyo vencimiento opere en el año 2019, se renovarán de forma automática hasta el </w:t>
      </w:r>
      <w:r w:rsidRPr="00B32C00">
        <w:rPr>
          <w:rFonts w:ascii="Arial" w:eastAsia="Times New Roman" w:hAnsi="Arial" w:cs="Arial"/>
          <w:b/>
          <w:bCs/>
          <w:color w:val="666666"/>
          <w:sz w:val="18"/>
          <w:szCs w:val="20"/>
          <w:u w:val="single"/>
        </w:rPr>
        <w:t>31 de diciembre de 2019</w:t>
      </w:r>
      <w:r w:rsidRPr="00B32C00">
        <w:rPr>
          <w:rFonts w:ascii="Arial" w:eastAsia="Times New Roman" w:hAnsi="Arial" w:cs="Arial"/>
          <w:b/>
          <w:bCs/>
          <w:color w:val="666666"/>
          <w:sz w:val="18"/>
          <w:szCs w:val="20"/>
        </w:rPr>
        <w:t xml:space="preserve"> inclusive</w:t>
      </w:r>
    </w:p>
    <w:p w:rsidR="00844AE1" w:rsidRDefault="00844AE1" w:rsidP="00567FFD">
      <w:pPr>
        <w:pStyle w:val="NormalWeb"/>
        <w:spacing w:before="0" w:beforeAutospacing="0" w:after="0" w:afterAutospacing="0" w:line="360" w:lineRule="auto"/>
        <w:jc w:val="both"/>
        <w:rPr>
          <w:rFonts w:ascii="Arial" w:eastAsia="Times New Roman" w:hAnsi="Arial" w:cs="Arial"/>
          <w:b/>
          <w:bCs/>
          <w:color w:val="666666"/>
          <w:sz w:val="18"/>
          <w:szCs w:val="18"/>
        </w:rPr>
      </w:pPr>
    </w:p>
    <w:p w:rsidR="00844AE1" w:rsidRPr="00844AE1" w:rsidRDefault="00844AE1" w:rsidP="00567FFD">
      <w:pPr>
        <w:pStyle w:val="NormalWeb"/>
        <w:spacing w:before="0" w:beforeAutospacing="0" w:after="0" w:afterAutospacing="0" w:line="360" w:lineRule="auto"/>
        <w:jc w:val="both"/>
        <w:rPr>
          <w:rFonts w:ascii="Arial" w:eastAsia="Times New Roman" w:hAnsi="Arial" w:cs="Arial"/>
          <w:b/>
          <w:bCs/>
          <w:color w:val="666666"/>
          <w:sz w:val="18"/>
          <w:szCs w:val="18"/>
        </w:rPr>
      </w:pPr>
    </w:p>
    <w:p w:rsidR="00567FFD" w:rsidRPr="00FF557A" w:rsidRDefault="002C2500" w:rsidP="00FF557A">
      <w:pPr>
        <w:pStyle w:val="NormalWeb"/>
        <w:spacing w:before="0" w:beforeAutospacing="0" w:after="0" w:afterAutospacing="0" w:line="360" w:lineRule="auto"/>
        <w:jc w:val="center"/>
        <w:rPr>
          <w:rFonts w:ascii="Arial" w:eastAsia="Times New Roman" w:hAnsi="Arial" w:cs="Arial"/>
          <w:b/>
          <w:bCs/>
          <w:color w:val="943634" w:themeColor="accent2" w:themeShade="BF"/>
          <w:sz w:val="28"/>
          <w:szCs w:val="28"/>
        </w:rPr>
      </w:pPr>
      <w:r w:rsidRPr="00FF557A">
        <w:rPr>
          <w:rFonts w:ascii="Arial" w:eastAsia="Times New Roman" w:hAnsi="Arial" w:cs="Arial"/>
          <w:b/>
          <w:bCs/>
          <w:color w:val="943634" w:themeColor="accent2" w:themeShade="BF"/>
          <w:sz w:val="28"/>
          <w:szCs w:val="28"/>
        </w:rPr>
        <w:t>LABORALES - PREVISIONALES</w:t>
      </w:r>
    </w:p>
    <w:p w:rsidR="004D5A93" w:rsidRPr="00AA5FC8" w:rsidRDefault="004D5A93" w:rsidP="002C2500">
      <w:pPr>
        <w:pStyle w:val="NormalWeb"/>
        <w:spacing w:before="0" w:beforeAutospacing="0" w:after="0" w:afterAutospacing="0"/>
        <w:jc w:val="both"/>
        <w:rPr>
          <w:rFonts w:ascii="Arial" w:hAnsi="Arial" w:cs="Arial"/>
          <w:b/>
          <w:bCs/>
          <w:caps/>
          <w:color w:val="7E4F6F"/>
          <w:sz w:val="18"/>
          <w:szCs w:val="18"/>
        </w:rPr>
      </w:pPr>
    </w:p>
    <w:p w:rsidR="00D12E6C" w:rsidRPr="00FF557A" w:rsidRDefault="00D12E6C" w:rsidP="00D12E6C">
      <w:pPr>
        <w:pStyle w:val="NormalWeb"/>
        <w:spacing w:before="0" w:beforeAutospacing="0" w:after="0" w:afterAutospacing="0"/>
        <w:jc w:val="both"/>
        <w:rPr>
          <w:rFonts w:ascii="Arial" w:hAnsi="Arial" w:cs="Arial"/>
          <w:b/>
          <w:bCs/>
          <w:caps/>
          <w:color w:val="7E4F6F"/>
          <w:sz w:val="22"/>
          <w:szCs w:val="22"/>
        </w:rPr>
      </w:pPr>
      <w:r w:rsidRPr="00FF557A">
        <w:rPr>
          <w:rFonts w:ascii="Arial" w:hAnsi="Arial" w:cs="Arial"/>
          <w:b/>
          <w:bCs/>
          <w:caps/>
          <w:color w:val="7E4F6F"/>
          <w:sz w:val="22"/>
          <w:szCs w:val="22"/>
        </w:rPr>
        <w:t xml:space="preserve">CONSEJO ASESOR DEL TRABAJO. CREACIÓN </w:t>
      </w:r>
    </w:p>
    <w:p w:rsidR="00D12E6C" w:rsidRDefault="00D12E6C" w:rsidP="00D12E6C">
      <w:pPr>
        <w:pStyle w:val="NormalWeb"/>
        <w:spacing w:before="0" w:beforeAutospacing="0" w:after="0" w:afterAutospacing="0"/>
        <w:jc w:val="both"/>
        <w:rPr>
          <w:rFonts w:ascii="Arial" w:hAnsi="Arial" w:cs="Arial"/>
          <w:b/>
          <w:bCs/>
          <w:caps/>
          <w:color w:val="7E4F6F"/>
          <w:sz w:val="18"/>
          <w:szCs w:val="18"/>
        </w:rPr>
      </w:pPr>
    </w:p>
    <w:p w:rsidR="00D12E6C" w:rsidRDefault="00D12E6C" w:rsidP="00D12E6C">
      <w:pPr>
        <w:spacing w:line="360" w:lineRule="auto"/>
        <w:jc w:val="both"/>
        <w:rPr>
          <w:rFonts w:ascii="Arial" w:eastAsia="Times New Roman" w:hAnsi="Arial" w:cs="Arial"/>
          <w:b/>
          <w:bCs/>
          <w:color w:val="666666"/>
          <w:sz w:val="18"/>
          <w:szCs w:val="20"/>
        </w:rPr>
      </w:pPr>
      <w:r w:rsidRPr="00D12E6C">
        <w:rPr>
          <w:rFonts w:ascii="Arial" w:eastAsia="Times New Roman" w:hAnsi="Arial" w:cs="Arial"/>
          <w:b/>
          <w:bCs/>
          <w:color w:val="666666"/>
          <w:sz w:val="18"/>
          <w:szCs w:val="20"/>
        </w:rPr>
        <w:t>Se crea, mediante la resolución (</w:t>
      </w:r>
      <w:proofErr w:type="spellStart"/>
      <w:r w:rsidRPr="00D12E6C">
        <w:rPr>
          <w:rFonts w:ascii="Arial" w:eastAsia="Times New Roman" w:hAnsi="Arial" w:cs="Arial"/>
          <w:b/>
          <w:bCs/>
          <w:color w:val="666666"/>
          <w:sz w:val="18"/>
          <w:szCs w:val="20"/>
        </w:rPr>
        <w:t>MPyT</w:t>
      </w:r>
      <w:proofErr w:type="spellEnd"/>
      <w:r w:rsidRPr="00D12E6C">
        <w:rPr>
          <w:rFonts w:ascii="Arial" w:eastAsia="Times New Roman" w:hAnsi="Arial" w:cs="Arial"/>
          <w:b/>
          <w:bCs/>
          <w:color w:val="666666"/>
          <w:sz w:val="18"/>
          <w:szCs w:val="20"/>
        </w:rPr>
        <w:t xml:space="preserve">) 60/2019 (BO: 5/2/2019), el Consejo Asesor del Trabajo en el ámbito del Ministerio de Producción y Trabajo, el que tendrá las siguientes funciones: </w:t>
      </w:r>
    </w:p>
    <w:p w:rsidR="00D12E6C" w:rsidRDefault="00D12E6C" w:rsidP="00D12E6C">
      <w:pPr>
        <w:spacing w:line="360" w:lineRule="auto"/>
        <w:jc w:val="both"/>
        <w:rPr>
          <w:rFonts w:ascii="Arial" w:eastAsia="Times New Roman" w:hAnsi="Arial" w:cs="Arial"/>
          <w:b/>
          <w:bCs/>
          <w:color w:val="666666"/>
          <w:sz w:val="18"/>
          <w:szCs w:val="20"/>
        </w:rPr>
      </w:pPr>
      <w:r w:rsidRPr="00D12E6C">
        <w:rPr>
          <w:rFonts w:ascii="Arial" w:eastAsia="Times New Roman" w:hAnsi="Arial" w:cs="Arial"/>
          <w:b/>
          <w:bCs/>
          <w:color w:val="666666"/>
          <w:sz w:val="18"/>
          <w:szCs w:val="20"/>
        </w:rPr>
        <w:t>* Asesorar en cuestiones relativas a los derechos fundamentales de los trabajadores, en especial la libertad sindical, la negociación colectiva, la igualdad en las oportunidades y de trato, y la eliminación del trabajo forzoso y del infantil.</w:t>
      </w:r>
    </w:p>
    <w:p w:rsidR="00D12E6C" w:rsidRDefault="00D12E6C" w:rsidP="00D12E6C">
      <w:pPr>
        <w:spacing w:line="360" w:lineRule="auto"/>
        <w:jc w:val="both"/>
        <w:rPr>
          <w:rFonts w:ascii="Arial" w:eastAsia="Times New Roman" w:hAnsi="Arial" w:cs="Arial"/>
          <w:b/>
          <w:bCs/>
          <w:color w:val="666666"/>
          <w:sz w:val="18"/>
          <w:szCs w:val="20"/>
        </w:rPr>
      </w:pPr>
      <w:r w:rsidRPr="00D12E6C">
        <w:rPr>
          <w:rFonts w:ascii="Arial" w:eastAsia="Times New Roman" w:hAnsi="Arial" w:cs="Arial"/>
          <w:b/>
          <w:bCs/>
          <w:color w:val="666666"/>
          <w:sz w:val="18"/>
          <w:szCs w:val="20"/>
        </w:rPr>
        <w:t xml:space="preserve">* Asesorar respecto del régimen de contrato de trabajo y demás normas de protección del trabajo. </w:t>
      </w:r>
    </w:p>
    <w:p w:rsidR="00D12E6C" w:rsidRDefault="00D12E6C" w:rsidP="00D12E6C">
      <w:pPr>
        <w:spacing w:line="360" w:lineRule="auto"/>
        <w:jc w:val="both"/>
        <w:rPr>
          <w:rFonts w:ascii="Arial" w:eastAsia="Times New Roman" w:hAnsi="Arial" w:cs="Arial"/>
          <w:b/>
          <w:bCs/>
          <w:color w:val="666666"/>
          <w:sz w:val="18"/>
          <w:szCs w:val="20"/>
        </w:rPr>
      </w:pPr>
      <w:r w:rsidRPr="00D12E6C">
        <w:rPr>
          <w:rFonts w:ascii="Arial" w:eastAsia="Times New Roman" w:hAnsi="Arial" w:cs="Arial"/>
          <w:b/>
          <w:bCs/>
          <w:color w:val="666666"/>
          <w:sz w:val="18"/>
          <w:szCs w:val="20"/>
        </w:rPr>
        <w:t xml:space="preserve">* Identificar las tendencias locales y globales en el campo laboral y sus implicancias. </w:t>
      </w:r>
    </w:p>
    <w:p w:rsidR="00D12E6C" w:rsidRDefault="00D12E6C" w:rsidP="00D12E6C">
      <w:pPr>
        <w:spacing w:line="360" w:lineRule="auto"/>
        <w:jc w:val="both"/>
        <w:rPr>
          <w:rFonts w:ascii="Arial" w:eastAsia="Times New Roman" w:hAnsi="Arial" w:cs="Arial"/>
          <w:b/>
          <w:bCs/>
          <w:color w:val="666666"/>
          <w:sz w:val="18"/>
          <w:szCs w:val="20"/>
        </w:rPr>
      </w:pPr>
      <w:r w:rsidRPr="00D12E6C">
        <w:rPr>
          <w:rFonts w:ascii="Arial" w:eastAsia="Times New Roman" w:hAnsi="Arial" w:cs="Arial"/>
          <w:b/>
          <w:bCs/>
          <w:color w:val="666666"/>
          <w:sz w:val="18"/>
          <w:szCs w:val="20"/>
        </w:rPr>
        <w:lastRenderedPageBreak/>
        <w:t xml:space="preserve">* Asesorar respecto de temas relativos a conflictos individuales y colectivos de trabajo. </w:t>
      </w:r>
    </w:p>
    <w:p w:rsidR="00D12E6C" w:rsidRDefault="00D12E6C" w:rsidP="00D12E6C">
      <w:pPr>
        <w:spacing w:line="360" w:lineRule="auto"/>
        <w:jc w:val="both"/>
        <w:rPr>
          <w:rFonts w:ascii="Arial" w:eastAsia="Times New Roman" w:hAnsi="Arial" w:cs="Arial"/>
          <w:b/>
          <w:bCs/>
          <w:color w:val="666666"/>
          <w:sz w:val="18"/>
          <w:szCs w:val="20"/>
        </w:rPr>
      </w:pPr>
      <w:r w:rsidRPr="00D12E6C">
        <w:rPr>
          <w:rFonts w:ascii="Arial" w:eastAsia="Times New Roman" w:hAnsi="Arial" w:cs="Arial"/>
          <w:b/>
          <w:bCs/>
          <w:color w:val="666666"/>
          <w:sz w:val="18"/>
          <w:szCs w:val="20"/>
        </w:rPr>
        <w:t xml:space="preserve">* Asesorar en materia de trabajo, empleo y capacitación laboral. </w:t>
      </w:r>
    </w:p>
    <w:p w:rsidR="00D12E6C" w:rsidRDefault="00D12E6C" w:rsidP="00D12E6C">
      <w:pPr>
        <w:spacing w:line="360" w:lineRule="auto"/>
        <w:jc w:val="both"/>
        <w:rPr>
          <w:rFonts w:ascii="Arial" w:eastAsia="Times New Roman" w:hAnsi="Arial" w:cs="Arial"/>
          <w:b/>
          <w:bCs/>
          <w:color w:val="666666"/>
          <w:sz w:val="18"/>
          <w:szCs w:val="20"/>
        </w:rPr>
      </w:pPr>
      <w:r w:rsidRPr="00D12E6C">
        <w:rPr>
          <w:rFonts w:ascii="Arial" w:eastAsia="Times New Roman" w:hAnsi="Arial" w:cs="Arial"/>
          <w:b/>
          <w:bCs/>
          <w:color w:val="666666"/>
          <w:sz w:val="18"/>
          <w:szCs w:val="20"/>
        </w:rPr>
        <w:t>* Asesorar en cuestiones normativas, regulatorias e instrumentos de políticas públicas orientadas a la generación del empleo y al incremento en la productividad del trabajo y su equitativa distribución.</w:t>
      </w:r>
    </w:p>
    <w:p w:rsidR="00D12E6C" w:rsidRPr="00D12E6C" w:rsidRDefault="00D12E6C" w:rsidP="00D12E6C">
      <w:pPr>
        <w:spacing w:line="360" w:lineRule="auto"/>
        <w:jc w:val="both"/>
        <w:rPr>
          <w:rFonts w:ascii="Arial" w:eastAsia="Times New Roman" w:hAnsi="Arial" w:cs="Arial"/>
          <w:b/>
          <w:bCs/>
          <w:color w:val="666666"/>
          <w:sz w:val="18"/>
          <w:szCs w:val="20"/>
        </w:rPr>
      </w:pPr>
      <w:r w:rsidRPr="00D12E6C">
        <w:rPr>
          <w:rFonts w:ascii="Arial" w:eastAsia="Times New Roman" w:hAnsi="Arial" w:cs="Arial"/>
          <w:b/>
          <w:bCs/>
          <w:color w:val="666666"/>
          <w:sz w:val="18"/>
          <w:szCs w:val="20"/>
        </w:rPr>
        <w:t>* Emitir opinión respecto de la armonización de los planes de empleo en relación con los planes económicos</w:t>
      </w:r>
    </w:p>
    <w:p w:rsidR="00B22B01" w:rsidRPr="00D12E6C" w:rsidRDefault="00B22B01" w:rsidP="00D12E6C">
      <w:pPr>
        <w:spacing w:line="360" w:lineRule="auto"/>
        <w:jc w:val="both"/>
        <w:rPr>
          <w:rFonts w:ascii="Arial" w:eastAsia="Times New Roman" w:hAnsi="Arial" w:cs="Arial"/>
          <w:b/>
          <w:bCs/>
          <w:color w:val="666666"/>
          <w:sz w:val="18"/>
          <w:szCs w:val="20"/>
        </w:rPr>
      </w:pPr>
    </w:p>
    <w:p w:rsidR="00844AE1" w:rsidRPr="00FF557A" w:rsidRDefault="00D12E6C" w:rsidP="00844AE1">
      <w:pPr>
        <w:pStyle w:val="NormalWeb"/>
        <w:spacing w:before="0" w:beforeAutospacing="0" w:after="0" w:afterAutospacing="0"/>
        <w:jc w:val="both"/>
        <w:rPr>
          <w:rFonts w:ascii="Arial" w:hAnsi="Arial" w:cs="Arial"/>
          <w:b/>
          <w:bCs/>
          <w:caps/>
          <w:color w:val="7E4F6F"/>
          <w:sz w:val="22"/>
          <w:szCs w:val="22"/>
        </w:rPr>
      </w:pPr>
      <w:r w:rsidRPr="00FF557A">
        <w:rPr>
          <w:rFonts w:ascii="Arial" w:hAnsi="Arial" w:cs="Arial"/>
          <w:b/>
          <w:bCs/>
          <w:caps/>
          <w:color w:val="7E4F6F"/>
          <w:sz w:val="22"/>
          <w:szCs w:val="22"/>
        </w:rPr>
        <w:t xml:space="preserve">Aportes y contribuciones </w:t>
      </w:r>
    </w:p>
    <w:p w:rsidR="00D12E6C" w:rsidRDefault="00D12E6C" w:rsidP="00844AE1">
      <w:pPr>
        <w:pStyle w:val="NormalWeb"/>
        <w:spacing w:before="0" w:beforeAutospacing="0" w:after="0" w:afterAutospacing="0"/>
        <w:jc w:val="both"/>
        <w:rPr>
          <w:rFonts w:ascii="Arial" w:hAnsi="Arial" w:cs="Arial"/>
          <w:b/>
          <w:bCs/>
          <w:caps/>
          <w:color w:val="7E4F6F"/>
          <w:sz w:val="18"/>
          <w:szCs w:val="18"/>
        </w:rPr>
      </w:pPr>
    </w:p>
    <w:p w:rsidR="0089551F" w:rsidRDefault="00D12E6C" w:rsidP="0089551F">
      <w:pPr>
        <w:pStyle w:val="NormalWeb"/>
        <w:spacing w:before="0" w:beforeAutospacing="0" w:after="0" w:afterAutospacing="0"/>
        <w:jc w:val="both"/>
        <w:rPr>
          <w:rFonts w:ascii="Arial" w:hAnsi="Arial" w:cs="Arial"/>
          <w:b/>
          <w:bCs/>
          <w:caps/>
          <w:color w:val="7E4F6F"/>
          <w:sz w:val="20"/>
          <w:szCs w:val="20"/>
        </w:rPr>
      </w:pPr>
      <w:r w:rsidRPr="00D12E6C">
        <w:rPr>
          <w:rFonts w:ascii="Arial" w:hAnsi="Arial" w:cs="Arial"/>
          <w:b/>
          <w:bCs/>
          <w:caps/>
          <w:color w:val="7E4F6F"/>
          <w:sz w:val="20"/>
          <w:szCs w:val="20"/>
        </w:rPr>
        <w:t>NUEVO ESQUEMA CONTRIBUTIVO DESDE ENERO DE 2019</w:t>
      </w:r>
    </w:p>
    <w:p w:rsidR="0089551F" w:rsidRDefault="0089551F" w:rsidP="0089551F">
      <w:pPr>
        <w:pStyle w:val="NormalWeb"/>
        <w:spacing w:before="0" w:beforeAutospacing="0" w:after="0" w:afterAutospacing="0"/>
        <w:jc w:val="both"/>
        <w:rPr>
          <w:rFonts w:ascii="Arial" w:hAnsi="Arial" w:cs="Arial"/>
          <w:b/>
          <w:bCs/>
          <w:caps/>
          <w:color w:val="7E4F6F"/>
          <w:sz w:val="20"/>
          <w:szCs w:val="20"/>
        </w:rPr>
      </w:pPr>
    </w:p>
    <w:p w:rsidR="00DB660E" w:rsidRDefault="0089551F" w:rsidP="0089551F">
      <w:pPr>
        <w:pStyle w:val="NormalWeb"/>
        <w:spacing w:before="0" w:beforeAutospacing="0" w:after="0" w:afterAutospacing="0" w:line="360" w:lineRule="auto"/>
        <w:jc w:val="both"/>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Las siguientes son las alícuotas de contribuciones con destino a los subsistemas de la seguridad social previstos en el decreto 814/2001, vigentes a partir del mes devengado enero de 2019</w:t>
      </w:r>
      <w:r>
        <w:rPr>
          <w:rFonts w:ascii="Arial" w:eastAsia="Times New Roman" w:hAnsi="Arial" w:cs="Arial"/>
          <w:b/>
          <w:bCs/>
          <w:color w:val="666666"/>
          <w:sz w:val="18"/>
          <w:szCs w:val="20"/>
        </w:rPr>
        <w:t>:</w:t>
      </w:r>
    </w:p>
    <w:tbl>
      <w:tblPr>
        <w:tblW w:w="3466"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9"/>
        <w:gridCol w:w="869"/>
        <w:gridCol w:w="1411"/>
        <w:gridCol w:w="809"/>
        <w:gridCol w:w="1175"/>
      </w:tblGrid>
      <w:tr w:rsidR="0089551F" w:rsidRPr="0089551F" w:rsidTr="00B32C00">
        <w:trPr>
          <w:trHeight w:val="646"/>
          <w:tblCellSpacing w:w="0" w:type="dxa"/>
          <w:jc w:val="center"/>
        </w:trPr>
        <w:tc>
          <w:tcPr>
            <w:tcW w:w="1512" w:type="pct"/>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sz w:val="18"/>
                <w:szCs w:val="20"/>
              </w:rPr>
              <w:t>CONCEPTO</w:t>
            </w:r>
          </w:p>
        </w:tc>
        <w:tc>
          <w:tcPr>
            <w:tcW w:w="711" w:type="pct"/>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sz w:val="18"/>
                <w:szCs w:val="20"/>
              </w:rPr>
              <w:t>NORMA LEGAL</w:t>
            </w:r>
          </w:p>
        </w:tc>
        <w:tc>
          <w:tcPr>
            <w:tcW w:w="1154" w:type="pct"/>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sz w:val="18"/>
                <w:szCs w:val="20"/>
              </w:rPr>
              <w:t>APORTE TRABAJADOR</w:t>
            </w:r>
          </w:p>
        </w:tc>
        <w:tc>
          <w:tcPr>
            <w:tcW w:w="162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sz w:val="18"/>
                <w:szCs w:val="20"/>
              </w:rPr>
              <w:t>CONTRIBUCIÓN PATRONAL</w:t>
            </w:r>
            <w:r w:rsidRPr="0089551F">
              <w:rPr>
                <w:rFonts w:ascii="Arial" w:eastAsia="Times New Roman" w:hAnsi="Arial" w:cs="Arial"/>
                <w:b/>
                <w:bCs/>
                <w:color w:val="666666"/>
                <w:sz w:val="18"/>
                <w:szCs w:val="20"/>
              </w:rPr>
              <w:br/>
            </w:r>
            <w:r w:rsidRPr="0089551F">
              <w:rPr>
                <w:sz w:val="18"/>
                <w:szCs w:val="20"/>
              </w:rPr>
              <w:t>DESDE EL 1/1/2019</w:t>
            </w:r>
          </w:p>
        </w:tc>
      </w:tr>
      <w:tr w:rsidR="0089551F" w:rsidRPr="0089551F" w:rsidTr="0089551F">
        <w:trPr>
          <w:trHeight w:val="14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rPr>
                <w:rFonts w:ascii="Arial" w:eastAsia="Times New Roman" w:hAnsi="Arial" w:cs="Arial"/>
                <w:b/>
                <w:bCs/>
                <w:color w:val="666666"/>
                <w:sz w:val="18"/>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rPr>
                <w:rFonts w:ascii="Arial" w:eastAsia="Times New Roman" w:hAnsi="Arial" w:cs="Arial"/>
                <w:b/>
                <w:bCs/>
                <w:color w:val="666666"/>
                <w:sz w:val="18"/>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rPr>
                <w:rFonts w:ascii="Arial" w:eastAsia="Times New Roman" w:hAnsi="Arial" w:cs="Arial"/>
                <w:b/>
                <w:bCs/>
                <w:color w:val="666666"/>
                <w:sz w:val="18"/>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sz w:val="18"/>
                <w:szCs w:val="20"/>
              </w:rPr>
              <w:t>D. 814/2001</w:t>
            </w:r>
          </w:p>
        </w:tc>
      </w:tr>
      <w:tr w:rsidR="0089551F" w:rsidRPr="0089551F" w:rsidTr="0089551F">
        <w:trPr>
          <w:trHeight w:val="14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rPr>
                <w:rFonts w:ascii="Arial" w:eastAsia="Times New Roman" w:hAnsi="Arial" w:cs="Arial"/>
                <w:b/>
                <w:bCs/>
                <w:color w:val="666666"/>
                <w:sz w:val="18"/>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rPr>
                <w:rFonts w:ascii="Arial" w:eastAsia="Times New Roman" w:hAnsi="Arial" w:cs="Arial"/>
                <w:b/>
                <w:bCs/>
                <w:color w:val="666666"/>
                <w:sz w:val="18"/>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rPr>
                <w:rFonts w:ascii="Arial" w:eastAsia="Times New Roman" w:hAnsi="Arial" w:cs="Arial"/>
                <w:b/>
                <w:bCs/>
                <w:color w:val="666666"/>
                <w:sz w:val="18"/>
                <w:szCs w:val="20"/>
              </w:rPr>
            </w:pPr>
          </w:p>
        </w:tc>
        <w:tc>
          <w:tcPr>
            <w:tcW w:w="662"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sz w:val="18"/>
                <w:szCs w:val="20"/>
              </w:rPr>
              <w:t>ART. 2, INC. A)</w:t>
            </w:r>
          </w:p>
        </w:tc>
        <w:tc>
          <w:tcPr>
            <w:tcW w:w="962"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sz w:val="18"/>
                <w:szCs w:val="20"/>
              </w:rPr>
              <w:t>ART. 2, INC. B)</w:t>
            </w:r>
          </w:p>
        </w:tc>
      </w:tr>
      <w:tr w:rsidR="0089551F" w:rsidRPr="0089551F" w:rsidTr="0089551F">
        <w:trPr>
          <w:trHeight w:val="8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rPr>
                <w:rFonts w:ascii="Arial" w:eastAsia="Times New Roman" w:hAnsi="Arial" w:cs="Arial"/>
                <w:b/>
                <w:bCs/>
                <w:color w:val="666666"/>
                <w:sz w:val="18"/>
                <w:szCs w:val="20"/>
              </w:rPr>
            </w:pPr>
            <w:r w:rsidRPr="0089551F">
              <w:rPr>
                <w:sz w:val="18"/>
                <w:szCs w:val="20"/>
              </w:rPr>
              <w:t>RÉGIMEN NACIONAL DE LA SEGURIDAD SOCIAL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sz w:val="18"/>
                <w:szCs w:val="20"/>
              </w:rPr>
              <w:t>(</w:t>
            </w:r>
            <w:proofErr w:type="gramStart"/>
            <w:r w:rsidRPr="0089551F">
              <w:rPr>
                <w:sz w:val="18"/>
                <w:szCs w:val="20"/>
              </w:rPr>
              <w:t>en</w:t>
            </w:r>
            <w:proofErr w:type="gramEnd"/>
            <w:r w:rsidRPr="0089551F">
              <w:rPr>
                <w:sz w:val="18"/>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sz w:val="18"/>
                <w:szCs w:val="20"/>
              </w:rPr>
              <w:t>(</w:t>
            </w:r>
            <w:proofErr w:type="gramStart"/>
            <w:r w:rsidRPr="0089551F">
              <w:rPr>
                <w:sz w:val="18"/>
                <w:szCs w:val="20"/>
              </w:rPr>
              <w:t>en</w:t>
            </w:r>
            <w:proofErr w:type="gramEnd"/>
            <w:r w:rsidRPr="0089551F">
              <w:rPr>
                <w:sz w:val="18"/>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sz w:val="18"/>
                <w:szCs w:val="20"/>
              </w:rPr>
              <w:t>(</w:t>
            </w:r>
            <w:proofErr w:type="gramStart"/>
            <w:r w:rsidRPr="0089551F">
              <w:rPr>
                <w:sz w:val="18"/>
                <w:szCs w:val="20"/>
              </w:rPr>
              <w:t>en</w:t>
            </w:r>
            <w:proofErr w:type="gramEnd"/>
            <w:r w:rsidRPr="0089551F">
              <w:rPr>
                <w:sz w:val="18"/>
                <w:szCs w:val="20"/>
              </w:rPr>
              <w:t xml:space="preserve"> %)</w:t>
            </w:r>
          </w:p>
        </w:tc>
      </w:tr>
      <w:tr w:rsidR="0089551F" w:rsidRPr="0089551F" w:rsidTr="0089551F">
        <w:trPr>
          <w:trHeight w:val="83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 Sistema Integrado Previsional Argentino</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L. 24241</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12,35</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10,77</w:t>
            </w:r>
          </w:p>
        </w:tc>
      </w:tr>
      <w:tr w:rsidR="0089551F" w:rsidRPr="0089551F" w:rsidTr="0089551F">
        <w:trPr>
          <w:trHeight w:val="41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 Asignaciones familiares</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L. 24714</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4,70</w:t>
            </w:r>
          </w:p>
        </w:tc>
      </w:tr>
      <w:tr w:rsidR="0089551F" w:rsidRPr="0089551F" w:rsidTr="0089551F">
        <w:trPr>
          <w:trHeight w:val="42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 Fondo Nacional de Empleo</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L. 24013</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0,94</w:t>
            </w:r>
          </w:p>
        </w:tc>
      </w:tr>
      <w:tr w:rsidR="0089551F" w:rsidRPr="0089551F" w:rsidTr="0089551F">
        <w:trPr>
          <w:trHeight w:val="202"/>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 INSSJP</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L. 19032</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rFonts w:ascii="Arial" w:eastAsia="Times New Roman" w:hAnsi="Arial" w:cs="Arial"/>
                <w:b/>
                <w:bCs/>
                <w:color w:val="666666"/>
                <w:sz w:val="18"/>
                <w:szCs w:val="20"/>
              </w:rPr>
              <w:t>1,59</w:t>
            </w:r>
          </w:p>
        </w:tc>
      </w:tr>
      <w:tr w:rsidR="0089551F" w:rsidRPr="0089551F" w:rsidTr="0089551F">
        <w:trPr>
          <w:trHeight w:val="212"/>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sz w:val="18"/>
                <w:szCs w:val="20"/>
              </w:rPr>
              <w:t>Total</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sz w:val="18"/>
                <w:szCs w:val="20"/>
              </w:rPr>
              <w:t>14,00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sz w:val="18"/>
                <w:szCs w:val="20"/>
              </w:rPr>
              <w:t>20,40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9551F" w:rsidRPr="0089551F" w:rsidRDefault="0089551F" w:rsidP="00B32C00">
            <w:pPr>
              <w:jc w:val="center"/>
              <w:rPr>
                <w:rFonts w:ascii="Arial" w:eastAsia="Times New Roman" w:hAnsi="Arial" w:cs="Arial"/>
                <w:b/>
                <w:bCs/>
                <w:color w:val="666666"/>
                <w:sz w:val="18"/>
                <w:szCs w:val="20"/>
              </w:rPr>
            </w:pPr>
            <w:r w:rsidRPr="0089551F">
              <w:rPr>
                <w:sz w:val="18"/>
                <w:szCs w:val="20"/>
              </w:rPr>
              <w:t>18,00</w:t>
            </w:r>
          </w:p>
        </w:tc>
      </w:tr>
    </w:tbl>
    <w:p w:rsidR="00B32C00" w:rsidRDefault="00B32C00" w:rsidP="0089551F">
      <w:pPr>
        <w:pStyle w:val="NormalWeb"/>
        <w:spacing w:before="0" w:beforeAutospacing="0" w:after="0" w:afterAutospacing="0" w:line="360" w:lineRule="auto"/>
        <w:jc w:val="both"/>
        <w:rPr>
          <w:rFonts w:ascii="Arial" w:hAnsi="Arial" w:cs="Arial"/>
          <w:b/>
          <w:bCs/>
          <w:caps/>
          <w:color w:val="7E4F6F"/>
          <w:sz w:val="21"/>
          <w:szCs w:val="21"/>
        </w:rPr>
      </w:pPr>
    </w:p>
    <w:p w:rsidR="0089551F" w:rsidRPr="00FF557A" w:rsidRDefault="00B32C00" w:rsidP="00B32C00">
      <w:pPr>
        <w:pStyle w:val="NormalWeb"/>
        <w:spacing w:before="0" w:beforeAutospacing="0" w:after="0" w:afterAutospacing="0"/>
        <w:jc w:val="both"/>
        <w:rPr>
          <w:rFonts w:ascii="Arial" w:hAnsi="Arial" w:cs="Arial"/>
          <w:b/>
          <w:bCs/>
          <w:caps/>
          <w:color w:val="7E4F6F"/>
          <w:sz w:val="20"/>
          <w:szCs w:val="20"/>
        </w:rPr>
      </w:pPr>
      <w:r w:rsidRPr="00FF557A">
        <w:rPr>
          <w:rFonts w:ascii="Arial" w:hAnsi="Arial" w:cs="Arial"/>
          <w:b/>
          <w:bCs/>
          <w:caps/>
          <w:color w:val="7E4F6F"/>
          <w:sz w:val="20"/>
          <w:szCs w:val="20"/>
        </w:rPr>
        <w:t>Recursos de la Seguridad Social. Empleadores de los sectores textil, confección, calzado y marroquinería. Detracción (D. 814/2001, art. 4). Períodos devengados noviembre y diciembre de 2018, y enero de 2019. Ingreso de contribuciones. Rectificación. Prórroga  - RESOLUCIÓN GENERAL (</w:t>
      </w:r>
      <w:proofErr w:type="spellStart"/>
      <w:r w:rsidRPr="00FF557A">
        <w:rPr>
          <w:rFonts w:ascii="Arial" w:hAnsi="Arial" w:cs="Arial"/>
          <w:b/>
          <w:bCs/>
          <w:caps/>
          <w:color w:val="7E4F6F"/>
          <w:sz w:val="20"/>
          <w:szCs w:val="20"/>
        </w:rPr>
        <w:t>Adm</w:t>
      </w:r>
      <w:proofErr w:type="spellEnd"/>
      <w:r w:rsidRPr="00FF557A">
        <w:rPr>
          <w:rFonts w:ascii="Arial" w:hAnsi="Arial" w:cs="Arial"/>
          <w:b/>
          <w:bCs/>
          <w:caps/>
          <w:color w:val="7E4F6F"/>
          <w:sz w:val="20"/>
          <w:szCs w:val="20"/>
        </w:rPr>
        <w:t>. Fed. Ingresos Públicos) 4416</w:t>
      </w:r>
    </w:p>
    <w:p w:rsidR="00B32C00" w:rsidRDefault="00B32C00" w:rsidP="00B32C00">
      <w:pPr>
        <w:pStyle w:val="NormalWeb"/>
        <w:spacing w:before="0" w:beforeAutospacing="0" w:after="0" w:afterAutospacing="0"/>
        <w:jc w:val="both"/>
        <w:rPr>
          <w:rFonts w:ascii="Arial" w:hAnsi="Arial" w:cs="Arial"/>
          <w:b/>
          <w:bCs/>
          <w:caps/>
          <w:color w:val="7E4F6F"/>
          <w:sz w:val="18"/>
          <w:szCs w:val="18"/>
        </w:rPr>
      </w:pPr>
    </w:p>
    <w:p w:rsidR="00B32C00" w:rsidRDefault="00B32C00" w:rsidP="00B32C00">
      <w:pPr>
        <w:pStyle w:val="NormalWeb"/>
        <w:spacing w:before="0" w:beforeAutospacing="0" w:after="0" w:afterAutospacing="0" w:line="360" w:lineRule="auto"/>
        <w:jc w:val="both"/>
        <w:rPr>
          <w:rFonts w:ascii="Arial" w:eastAsia="Times New Roman" w:hAnsi="Arial" w:cs="Arial"/>
          <w:b/>
          <w:bCs/>
          <w:color w:val="666666"/>
          <w:sz w:val="18"/>
          <w:szCs w:val="20"/>
        </w:rPr>
      </w:pPr>
      <w:r w:rsidRPr="00B32C00">
        <w:rPr>
          <w:rFonts w:ascii="Arial" w:eastAsia="Times New Roman" w:hAnsi="Arial" w:cs="Arial"/>
          <w:b/>
          <w:bCs/>
          <w:color w:val="666666"/>
          <w:sz w:val="18"/>
          <w:szCs w:val="20"/>
        </w:rPr>
        <w:t>En virtud de razones operativas que motivan demoras en el trámite de aprobación del beneficio por la respectiva Autoridad de Aplicación, y a fin de facilitar a los contribuyentes y responsables el cumplimiento de sus obligaciones, se extiende a los períodos devengados noviembre y diciembre de 2018, y enero de 2019, la posibilidad de rectificar la declaración jurada determinativa y nominativa de los aportes y contribuciones con destino a la seguridad social, hasta el 31 de marzo de 2019, cuando dicha demora impida al contribuyente hacer uso del beneficio en los períodos aludidos.</w:t>
      </w:r>
    </w:p>
    <w:p w:rsidR="00B32C00" w:rsidRDefault="00B32C00" w:rsidP="00B32C00">
      <w:pPr>
        <w:pStyle w:val="NormalWeb"/>
        <w:spacing w:before="0" w:beforeAutospacing="0" w:after="0" w:afterAutospacing="0" w:line="360" w:lineRule="auto"/>
        <w:jc w:val="both"/>
        <w:rPr>
          <w:rFonts w:ascii="Arial" w:eastAsia="Times New Roman" w:hAnsi="Arial" w:cs="Arial"/>
          <w:b/>
          <w:bCs/>
          <w:color w:val="666666"/>
          <w:sz w:val="18"/>
          <w:szCs w:val="20"/>
        </w:rPr>
      </w:pPr>
      <w:r w:rsidRPr="00B32C00">
        <w:rPr>
          <w:rFonts w:ascii="Arial" w:eastAsia="Times New Roman" w:hAnsi="Arial" w:cs="Arial"/>
          <w:b/>
          <w:bCs/>
          <w:color w:val="666666"/>
          <w:sz w:val="18"/>
          <w:szCs w:val="20"/>
        </w:rPr>
        <w:t>La presente normativa entra en vigencia el 4 de febrero de 2019</w:t>
      </w:r>
      <w:r>
        <w:rPr>
          <w:rFonts w:ascii="Arial" w:eastAsia="Times New Roman" w:hAnsi="Arial" w:cs="Arial"/>
          <w:b/>
          <w:bCs/>
          <w:color w:val="666666"/>
          <w:sz w:val="18"/>
          <w:szCs w:val="20"/>
        </w:rPr>
        <w:t>.</w:t>
      </w:r>
    </w:p>
    <w:p w:rsidR="00B32C00" w:rsidRDefault="00B32C00" w:rsidP="00B32C00">
      <w:pPr>
        <w:pStyle w:val="NormalWeb"/>
        <w:spacing w:before="0" w:beforeAutospacing="0" w:after="0" w:afterAutospacing="0" w:line="360" w:lineRule="auto"/>
        <w:jc w:val="both"/>
        <w:rPr>
          <w:rFonts w:ascii="Arial" w:eastAsia="Times New Roman" w:hAnsi="Arial" w:cs="Arial"/>
          <w:b/>
          <w:bCs/>
          <w:color w:val="666666"/>
          <w:sz w:val="18"/>
          <w:szCs w:val="20"/>
        </w:rPr>
      </w:pPr>
    </w:p>
    <w:p w:rsidR="00B32C00" w:rsidRPr="00FF557A" w:rsidRDefault="00B32C00" w:rsidP="00B32C00">
      <w:pPr>
        <w:pStyle w:val="NormalWeb"/>
        <w:spacing w:before="0" w:beforeAutospacing="0" w:after="0" w:afterAutospacing="0"/>
        <w:jc w:val="both"/>
        <w:rPr>
          <w:rFonts w:ascii="Arial" w:hAnsi="Arial" w:cs="Arial"/>
          <w:b/>
          <w:bCs/>
          <w:caps/>
          <w:color w:val="7E4F6F"/>
          <w:sz w:val="20"/>
          <w:szCs w:val="20"/>
        </w:rPr>
      </w:pPr>
      <w:r w:rsidRPr="00FF557A">
        <w:rPr>
          <w:rFonts w:ascii="Arial" w:hAnsi="Arial" w:cs="Arial"/>
          <w:b/>
          <w:bCs/>
          <w:caps/>
          <w:color w:val="7E4F6F"/>
          <w:sz w:val="20"/>
          <w:szCs w:val="20"/>
        </w:rPr>
        <w:lastRenderedPageBreak/>
        <w:t xml:space="preserve">Trabajo y Previsión Social. Pago de prestaciones de la seguridad social en “cuentas virtuales”. Aprobación – (ADM. </w:t>
      </w:r>
      <w:proofErr w:type="spellStart"/>
      <w:r w:rsidRPr="00FF557A">
        <w:rPr>
          <w:rFonts w:ascii="Arial" w:hAnsi="Arial" w:cs="Arial"/>
          <w:b/>
          <w:bCs/>
          <w:caps/>
          <w:color w:val="7E4F6F"/>
          <w:sz w:val="20"/>
          <w:szCs w:val="20"/>
        </w:rPr>
        <w:t>Nac</w:t>
      </w:r>
      <w:proofErr w:type="spellEnd"/>
      <w:r w:rsidRPr="00FF557A">
        <w:rPr>
          <w:rFonts w:ascii="Arial" w:hAnsi="Arial" w:cs="Arial"/>
          <w:b/>
          <w:bCs/>
          <w:caps/>
          <w:color w:val="7E4F6F"/>
          <w:sz w:val="20"/>
          <w:szCs w:val="20"/>
        </w:rPr>
        <w:t>. Seguridad Social) 39/2019</w:t>
      </w:r>
    </w:p>
    <w:p w:rsidR="00B32C00" w:rsidRPr="00B32C00" w:rsidRDefault="00B32C00" w:rsidP="00B32C00">
      <w:pPr>
        <w:pStyle w:val="NormalWeb"/>
        <w:spacing w:before="0" w:beforeAutospacing="0" w:after="0" w:afterAutospacing="0" w:line="360" w:lineRule="auto"/>
        <w:jc w:val="both"/>
        <w:rPr>
          <w:rFonts w:ascii="Arial" w:eastAsia="Times New Roman" w:hAnsi="Arial" w:cs="Arial"/>
          <w:b/>
          <w:bCs/>
          <w:color w:val="666666"/>
          <w:sz w:val="18"/>
          <w:szCs w:val="20"/>
        </w:rPr>
      </w:pPr>
    </w:p>
    <w:p w:rsidR="00B32C00" w:rsidRDefault="00B32C00" w:rsidP="00B32C00">
      <w:pPr>
        <w:pStyle w:val="NormalWeb"/>
        <w:spacing w:before="0" w:beforeAutospacing="0" w:after="0" w:afterAutospacing="0" w:line="360" w:lineRule="auto"/>
        <w:jc w:val="both"/>
        <w:rPr>
          <w:rFonts w:ascii="Arial" w:eastAsia="Times New Roman" w:hAnsi="Arial" w:cs="Arial"/>
          <w:b/>
          <w:bCs/>
          <w:color w:val="666666"/>
          <w:sz w:val="18"/>
          <w:szCs w:val="20"/>
        </w:rPr>
      </w:pPr>
      <w:r w:rsidRPr="00B32C00">
        <w:rPr>
          <w:rFonts w:ascii="Arial" w:eastAsia="Times New Roman" w:hAnsi="Arial" w:cs="Arial"/>
          <w:b/>
          <w:bCs/>
          <w:color w:val="666666"/>
          <w:sz w:val="18"/>
          <w:szCs w:val="20"/>
        </w:rPr>
        <w:t xml:space="preserve">Se aprueba el procedimiento de pago de las prestaciones de la seguridad social a través de cuentas virtuales no bancarias, que permitirá a los beneficiarios de la </w:t>
      </w:r>
      <w:proofErr w:type="spellStart"/>
      <w:r w:rsidRPr="00B32C00">
        <w:rPr>
          <w:rFonts w:ascii="Arial" w:eastAsia="Times New Roman" w:hAnsi="Arial" w:cs="Arial"/>
          <w:b/>
          <w:bCs/>
          <w:color w:val="666666"/>
          <w:sz w:val="18"/>
          <w:szCs w:val="20"/>
        </w:rPr>
        <w:t>ANSeS</w:t>
      </w:r>
      <w:proofErr w:type="spellEnd"/>
      <w:r w:rsidRPr="00B32C00">
        <w:rPr>
          <w:rFonts w:ascii="Arial" w:eastAsia="Times New Roman" w:hAnsi="Arial" w:cs="Arial"/>
          <w:b/>
          <w:bCs/>
          <w:color w:val="666666"/>
          <w:sz w:val="18"/>
          <w:szCs w:val="20"/>
        </w:rPr>
        <w:t xml:space="preserve"> realizar compras de bienes o servicios, realizar pagos o recargas, extraer dinero en efectivo, y realizar y recibir transferencias, entre otras funciones</w:t>
      </w:r>
      <w:r>
        <w:rPr>
          <w:rFonts w:ascii="Arial" w:eastAsia="Times New Roman" w:hAnsi="Arial" w:cs="Arial"/>
          <w:b/>
          <w:bCs/>
          <w:color w:val="666666"/>
          <w:sz w:val="18"/>
          <w:szCs w:val="20"/>
        </w:rPr>
        <w:t>.</w:t>
      </w:r>
    </w:p>
    <w:p w:rsidR="00B32C00" w:rsidRPr="00FF557A" w:rsidRDefault="00B32C00" w:rsidP="00FF557A">
      <w:pPr>
        <w:pStyle w:val="errepar24-titulo-cpo11detexto"/>
        <w:jc w:val="both"/>
        <w:rPr>
          <w:sz w:val="20"/>
          <w:szCs w:val="20"/>
        </w:rPr>
      </w:pPr>
      <w:r w:rsidRPr="00FF557A">
        <w:rPr>
          <w:rFonts w:ascii="Arial" w:eastAsiaTheme="minorHAnsi" w:hAnsi="Arial" w:cs="Arial"/>
          <w:b/>
          <w:bCs/>
          <w:caps/>
          <w:color w:val="7E4F6F"/>
          <w:sz w:val="20"/>
          <w:szCs w:val="20"/>
        </w:rPr>
        <w:t>Régimen especial de seguridad social para el Personal de Casas Particulares - [</w:t>
      </w:r>
      <w:hyperlink r:id="rId8" w:anchor="L_RSS_LN_25239_TituloXVIII" w:tgtFrame="_blank" w:history="1">
        <w:r w:rsidRPr="00FF557A">
          <w:rPr>
            <w:rFonts w:ascii="Arial" w:eastAsiaTheme="minorHAnsi" w:hAnsi="Arial" w:cs="Arial"/>
            <w:b/>
            <w:bCs/>
            <w:caps/>
            <w:color w:val="7E4F6F"/>
            <w:sz w:val="20"/>
            <w:szCs w:val="20"/>
          </w:rPr>
          <w:t>L. 25239, TÍT. XVIII</w:t>
        </w:r>
      </w:hyperlink>
      <w:r w:rsidRPr="00FF557A">
        <w:rPr>
          <w:rFonts w:ascii="Arial" w:eastAsiaTheme="minorHAnsi" w:hAnsi="Arial" w:cs="Arial"/>
          <w:b/>
          <w:bCs/>
          <w:caps/>
          <w:color w:val="7E4F6F"/>
          <w:sz w:val="20"/>
          <w:szCs w:val="20"/>
        </w:rPr>
        <w:t xml:space="preserve">, </w:t>
      </w:r>
      <w:hyperlink r:id="rId9" w:tgtFrame="_blank" w:history="1">
        <w:r w:rsidRPr="00FF557A">
          <w:rPr>
            <w:rFonts w:ascii="Arial" w:eastAsiaTheme="minorHAnsi" w:hAnsi="Arial" w:cs="Arial"/>
            <w:b/>
            <w:bCs/>
            <w:caps/>
            <w:color w:val="7E4F6F"/>
            <w:sz w:val="20"/>
            <w:szCs w:val="20"/>
          </w:rPr>
          <w:t>RG (AFIP) 3693</w:t>
        </w:r>
      </w:hyperlink>
      <w:r w:rsidR="00681204" w:rsidRPr="00FF557A">
        <w:rPr>
          <w:rFonts w:ascii="Arial" w:eastAsiaTheme="minorHAnsi" w:hAnsi="Arial" w:cs="Arial"/>
          <w:b/>
          <w:bCs/>
          <w:caps/>
          <w:color w:val="7E4F6F"/>
          <w:sz w:val="20"/>
          <w:szCs w:val="20"/>
        </w:rPr>
        <w:t xml:space="preserve"> Y rg (AFIP) 4180-E)</w:t>
      </w:r>
      <w:r w:rsidRPr="00FF557A">
        <w:rPr>
          <w:rFonts w:ascii="Arial" w:eastAsiaTheme="minorHAnsi" w:hAnsi="Arial" w:cs="Arial"/>
          <w:b/>
          <w:bCs/>
          <w:caps/>
          <w:color w:val="7E4F6F"/>
          <w:sz w:val="20"/>
          <w:szCs w:val="20"/>
        </w:rPr>
        <w:t>]</w:t>
      </w:r>
    </w:p>
    <w:p w:rsidR="00B32C00" w:rsidRDefault="00B32C00" w:rsidP="00681204">
      <w:pPr>
        <w:pStyle w:val="NormalWeb"/>
      </w:pPr>
      <w:r w:rsidRPr="00681204">
        <w:rPr>
          <w:rFonts w:ascii="Arial" w:hAnsi="Arial" w:cs="Arial"/>
          <w:b/>
          <w:bCs/>
          <w:caps/>
          <w:color w:val="7E4F6F"/>
          <w:sz w:val="21"/>
          <w:szCs w:val="21"/>
        </w:rPr>
        <w:t>APORTES Y CONTRIBUCIONES. ALÍCUOTA ART</w:t>
      </w:r>
    </w:p>
    <w:p w:rsidR="00B32C00" w:rsidRPr="00681204" w:rsidRDefault="00B32C00" w:rsidP="00B32C00">
      <w:pPr>
        <w:pStyle w:val="textocentradonegritanovedades"/>
        <w:rPr>
          <w:rFonts w:ascii="Arial" w:hAnsi="Arial" w:cs="Arial"/>
          <w:b/>
          <w:bCs/>
          <w:color w:val="666666"/>
          <w:sz w:val="18"/>
          <w:szCs w:val="20"/>
          <w:lang w:val="es-ES" w:eastAsia="es-ES"/>
        </w:rPr>
      </w:pPr>
      <w:r w:rsidRPr="00681204">
        <w:rPr>
          <w:rFonts w:ascii="Arial" w:hAnsi="Arial" w:cs="Arial"/>
          <w:b/>
          <w:bCs/>
          <w:color w:val="666666"/>
          <w:sz w:val="18"/>
          <w:szCs w:val="20"/>
          <w:lang w:val="es-ES" w:eastAsia="es-ES"/>
        </w:rPr>
        <w:t>VIGENCIA</w:t>
      </w:r>
      <w:hyperlink r:id="rId10" w:anchor="Nota1" w:tgtFrame="_self" w:history="1">
        <w:r w:rsidRPr="00681204">
          <w:rPr>
            <w:rFonts w:ascii="Arial" w:hAnsi="Arial" w:cs="Arial"/>
            <w:b/>
            <w:bCs/>
            <w:color w:val="666666"/>
            <w:szCs w:val="20"/>
            <w:lang w:val="es-ES" w:eastAsia="es-ES"/>
          </w:rPr>
          <w:t>(1)</w:t>
        </w:r>
      </w:hyperlink>
      <w:r w:rsidRPr="00681204">
        <w:rPr>
          <w:rFonts w:ascii="Arial" w:hAnsi="Arial" w:cs="Arial"/>
          <w:b/>
          <w:bCs/>
          <w:color w:val="666666"/>
          <w:sz w:val="18"/>
          <w:szCs w:val="20"/>
          <w:lang w:val="es-ES" w:eastAsia="es-ES"/>
        </w:rPr>
        <w:t>: DESDE ENERO 2019</w:t>
      </w:r>
    </w:p>
    <w:p w:rsidR="00B32C00" w:rsidRPr="00681204" w:rsidRDefault="00B32C00" w:rsidP="00B32C00">
      <w:pPr>
        <w:pStyle w:val="textonovedades"/>
        <w:rPr>
          <w:rFonts w:ascii="Arial" w:hAnsi="Arial" w:cs="Arial"/>
          <w:b/>
          <w:bCs/>
          <w:color w:val="666666"/>
          <w:sz w:val="18"/>
          <w:szCs w:val="20"/>
          <w:lang w:val="es-ES" w:eastAsia="es-ES"/>
        </w:rPr>
      </w:pPr>
      <w:r w:rsidRPr="00681204">
        <w:rPr>
          <w:rFonts w:ascii="Arial" w:hAnsi="Arial" w:cs="Arial"/>
          <w:color w:val="666666"/>
          <w:sz w:val="18"/>
          <w:szCs w:val="20"/>
          <w:lang w:val="es-ES" w:eastAsia="es-ES"/>
        </w:rPr>
        <w:t>a) Por cada trabajador activo:</w:t>
      </w:r>
    </w:p>
    <w:p w:rsidR="00B32C00" w:rsidRPr="00681204" w:rsidRDefault="00B32C00" w:rsidP="00681204">
      <w:pPr>
        <w:pStyle w:val="textocentradonovedades"/>
        <w:rPr>
          <w:rFonts w:ascii="Arial" w:hAnsi="Arial" w:cs="Arial"/>
          <w:b/>
          <w:bCs/>
          <w:color w:val="666666"/>
          <w:sz w:val="18"/>
          <w:szCs w:val="20"/>
        </w:rPr>
      </w:pPr>
      <w:r w:rsidRPr="00681204">
        <w:rPr>
          <w:rFonts w:ascii="Arial" w:hAnsi="Arial" w:cs="Arial"/>
          <w:b/>
          <w:bCs/>
          <w:color w:val="666666"/>
          <w:sz w:val="18"/>
          <w:szCs w:val="20"/>
        </w:rPr>
        <w:t>Mayor de 18 años: </w:t>
      </w:r>
    </w:p>
    <w:tbl>
      <w:tblPr>
        <w:tblW w:w="4000" w:type="pct"/>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843"/>
        <w:gridCol w:w="985"/>
        <w:gridCol w:w="1818"/>
        <w:gridCol w:w="1261"/>
        <w:gridCol w:w="1244"/>
      </w:tblGrid>
      <w:tr w:rsidR="00B32C00" w:rsidRPr="00681204" w:rsidTr="00B32C00">
        <w:trPr>
          <w:tblCellSpacing w:w="15" w:type="dxa"/>
        </w:trPr>
        <w:tc>
          <w:tcPr>
            <w:tcW w:w="0" w:type="auto"/>
            <w:vMerge w:val="restart"/>
            <w:tcBorders>
              <w:top w:val="single" w:sz="12" w:space="0" w:color="000000"/>
            </w:tcBorders>
            <w:shd w:val="clear" w:color="auto" w:fill="A6A6A6"/>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color w:val="666666"/>
                <w:sz w:val="18"/>
                <w:szCs w:val="20"/>
              </w:rPr>
              <w:t>Horas trabajadas semanalmente</w:t>
            </w:r>
          </w:p>
        </w:tc>
        <w:tc>
          <w:tcPr>
            <w:tcW w:w="0" w:type="auto"/>
            <w:vMerge w:val="restart"/>
            <w:tcBorders>
              <w:top w:val="single" w:sz="12" w:space="0" w:color="000000"/>
            </w:tcBorders>
            <w:shd w:val="clear" w:color="auto" w:fill="A6A6A6"/>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color w:val="666666"/>
                <w:sz w:val="18"/>
                <w:szCs w:val="20"/>
              </w:rPr>
              <w:t>Importe a pagar</w:t>
            </w:r>
          </w:p>
        </w:tc>
        <w:tc>
          <w:tcPr>
            <w:tcW w:w="0" w:type="auto"/>
            <w:gridSpan w:val="3"/>
            <w:tcBorders>
              <w:top w:val="single" w:sz="12" w:space="0" w:color="000000"/>
              <w:bottom w:val="single" w:sz="6" w:space="0" w:color="000000"/>
            </w:tcBorders>
            <w:shd w:val="clear" w:color="auto" w:fill="A6A6A6"/>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color w:val="666666"/>
                <w:sz w:val="18"/>
                <w:szCs w:val="20"/>
              </w:rPr>
              <w:t>Importe de cada concepto que se paga</w:t>
            </w:r>
          </w:p>
        </w:tc>
      </w:tr>
      <w:tr w:rsidR="00B32C00" w:rsidRPr="00681204" w:rsidTr="00B32C00">
        <w:trPr>
          <w:tblCellSpacing w:w="15" w:type="dxa"/>
        </w:trPr>
        <w:tc>
          <w:tcPr>
            <w:tcW w:w="0" w:type="auto"/>
            <w:vMerge/>
            <w:tcBorders>
              <w:top w:val="single" w:sz="12" w:space="0" w:color="000000"/>
            </w:tcBorders>
            <w:vAlign w:val="center"/>
            <w:hideMark/>
          </w:tcPr>
          <w:p w:rsidR="00B32C00" w:rsidRPr="00681204" w:rsidRDefault="00B32C00" w:rsidP="00681204">
            <w:pPr>
              <w:jc w:val="center"/>
              <w:rPr>
                <w:rFonts w:ascii="Arial" w:eastAsia="Times New Roman" w:hAnsi="Arial" w:cs="Arial"/>
                <w:b/>
                <w:bCs/>
                <w:color w:val="666666"/>
                <w:sz w:val="18"/>
                <w:szCs w:val="20"/>
              </w:rPr>
            </w:pPr>
          </w:p>
        </w:tc>
        <w:tc>
          <w:tcPr>
            <w:tcW w:w="0" w:type="auto"/>
            <w:vMerge/>
            <w:tcBorders>
              <w:top w:val="single" w:sz="12" w:space="0" w:color="000000"/>
            </w:tcBorders>
            <w:vAlign w:val="center"/>
            <w:hideMark/>
          </w:tcPr>
          <w:p w:rsidR="00B32C00" w:rsidRPr="00681204" w:rsidRDefault="00B32C00" w:rsidP="00681204">
            <w:pPr>
              <w:jc w:val="center"/>
              <w:rPr>
                <w:rFonts w:ascii="Arial" w:eastAsia="Times New Roman" w:hAnsi="Arial" w:cs="Arial"/>
                <w:b/>
                <w:bCs/>
                <w:color w:val="666666"/>
                <w:sz w:val="18"/>
                <w:szCs w:val="20"/>
              </w:rPr>
            </w:pPr>
          </w:p>
        </w:tc>
        <w:tc>
          <w:tcPr>
            <w:tcW w:w="0" w:type="auto"/>
            <w:tcBorders>
              <w:top w:val="single" w:sz="6" w:space="0" w:color="000000"/>
              <w:bottom w:val="single" w:sz="6" w:space="0" w:color="000000"/>
            </w:tcBorders>
            <w:shd w:val="clear" w:color="auto" w:fill="A6A6A6"/>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color w:val="666666"/>
                <w:sz w:val="18"/>
                <w:szCs w:val="20"/>
              </w:rPr>
              <w:t>Aportes</w:t>
            </w:r>
          </w:p>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color w:val="666666"/>
                <w:sz w:val="18"/>
                <w:szCs w:val="20"/>
              </w:rPr>
              <w:t>(Régimen del Seguro Nacional de Salud)</w:t>
            </w:r>
          </w:p>
        </w:tc>
        <w:tc>
          <w:tcPr>
            <w:tcW w:w="0" w:type="auto"/>
            <w:tcBorders>
              <w:top w:val="single" w:sz="6" w:space="0" w:color="000000"/>
              <w:bottom w:val="single" w:sz="6" w:space="0" w:color="000000"/>
            </w:tcBorders>
            <w:shd w:val="clear" w:color="auto" w:fill="A6A6A6"/>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color w:val="666666"/>
                <w:sz w:val="18"/>
                <w:szCs w:val="20"/>
              </w:rPr>
              <w:t>Contribuciones</w:t>
            </w:r>
          </w:p>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color w:val="666666"/>
                <w:sz w:val="18"/>
                <w:szCs w:val="20"/>
              </w:rPr>
              <w:t>(SIJP)</w:t>
            </w:r>
          </w:p>
        </w:tc>
        <w:tc>
          <w:tcPr>
            <w:tcW w:w="0" w:type="auto"/>
            <w:shd w:val="clear" w:color="auto" w:fill="A6A6A6"/>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color w:val="666666"/>
                <w:sz w:val="18"/>
                <w:szCs w:val="20"/>
              </w:rPr>
              <w:t>Cuota riesgos del trabajo</w:t>
            </w:r>
          </w:p>
        </w:tc>
      </w:tr>
      <w:tr w:rsidR="00B32C00" w:rsidRPr="00681204" w:rsidTr="00B32C00">
        <w:trPr>
          <w:tblCellSpacing w:w="15" w:type="dxa"/>
        </w:trPr>
        <w:tc>
          <w:tcPr>
            <w:tcW w:w="0" w:type="auto"/>
            <w:vAlign w:val="center"/>
            <w:hideMark/>
          </w:tcPr>
          <w:p w:rsidR="00B32C00" w:rsidRPr="00681204" w:rsidRDefault="00B32C00" w:rsidP="00681204">
            <w:pPr>
              <w:pStyle w:val="tablaizquierda8"/>
              <w:jc w:val="center"/>
              <w:rPr>
                <w:rFonts w:ascii="Arial" w:hAnsi="Arial" w:cs="Arial"/>
                <w:b/>
                <w:bCs/>
                <w:color w:val="666666"/>
                <w:sz w:val="18"/>
                <w:szCs w:val="20"/>
              </w:rPr>
            </w:pPr>
            <w:r w:rsidRPr="00681204">
              <w:rPr>
                <w:rFonts w:ascii="Arial" w:hAnsi="Arial" w:cs="Arial"/>
                <w:b/>
                <w:bCs/>
                <w:color w:val="666666"/>
                <w:sz w:val="18"/>
                <w:szCs w:val="20"/>
              </w:rPr>
              <w:t>Menos de 12</w:t>
            </w:r>
          </w:p>
        </w:tc>
        <w:tc>
          <w:tcPr>
            <w:tcW w:w="0" w:type="auto"/>
            <w:vAlign w:val="center"/>
            <w:hideMark/>
          </w:tcPr>
          <w:p w:rsidR="00B32C00" w:rsidRPr="00681204" w:rsidRDefault="00B32C00" w:rsidP="00681204">
            <w:pPr>
              <w:pStyle w:val="tabladerecha8"/>
              <w:jc w:val="center"/>
              <w:rPr>
                <w:rFonts w:ascii="Arial" w:hAnsi="Arial" w:cs="Arial"/>
                <w:b/>
                <w:bCs/>
                <w:color w:val="666666"/>
                <w:sz w:val="18"/>
                <w:szCs w:val="20"/>
              </w:rPr>
            </w:pPr>
            <w:r w:rsidRPr="00681204">
              <w:rPr>
                <w:rFonts w:ascii="Arial" w:hAnsi="Arial" w:cs="Arial"/>
                <w:color w:val="666666"/>
                <w:sz w:val="18"/>
                <w:szCs w:val="20"/>
              </w:rPr>
              <w:t>$ 205,64</w:t>
            </w:r>
          </w:p>
        </w:tc>
        <w:tc>
          <w:tcPr>
            <w:tcW w:w="0" w:type="auto"/>
            <w:tcBorders>
              <w:top w:val="single" w:sz="6" w:space="0" w:color="000000"/>
            </w:tcBorders>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$ 55,91</w:t>
            </w:r>
          </w:p>
        </w:tc>
        <w:tc>
          <w:tcPr>
            <w:tcW w:w="0" w:type="auto"/>
            <w:tcBorders>
              <w:top w:val="single" w:sz="6" w:space="0" w:color="000000"/>
            </w:tcBorders>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$ 19,73</w:t>
            </w:r>
          </w:p>
        </w:tc>
        <w:tc>
          <w:tcPr>
            <w:tcW w:w="0" w:type="auto"/>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$ 130</w:t>
            </w:r>
          </w:p>
        </w:tc>
      </w:tr>
      <w:tr w:rsidR="00B32C00" w:rsidRPr="00681204" w:rsidTr="00B32C00">
        <w:trPr>
          <w:tblCellSpacing w:w="15" w:type="dxa"/>
        </w:trPr>
        <w:tc>
          <w:tcPr>
            <w:tcW w:w="0" w:type="auto"/>
            <w:vAlign w:val="center"/>
            <w:hideMark/>
          </w:tcPr>
          <w:p w:rsidR="00B32C00" w:rsidRPr="00681204" w:rsidRDefault="00B32C00" w:rsidP="00681204">
            <w:pPr>
              <w:pStyle w:val="tablaizquierda8"/>
              <w:jc w:val="center"/>
              <w:rPr>
                <w:rFonts w:ascii="Arial" w:hAnsi="Arial" w:cs="Arial"/>
                <w:b/>
                <w:bCs/>
                <w:color w:val="666666"/>
                <w:sz w:val="18"/>
                <w:szCs w:val="20"/>
              </w:rPr>
            </w:pPr>
            <w:r w:rsidRPr="00681204">
              <w:rPr>
                <w:rFonts w:ascii="Arial" w:hAnsi="Arial" w:cs="Arial"/>
                <w:b/>
                <w:bCs/>
                <w:color w:val="666666"/>
                <w:sz w:val="18"/>
                <w:szCs w:val="20"/>
              </w:rPr>
              <w:t>Desde 12 a menos de 16</w:t>
            </w:r>
          </w:p>
        </w:tc>
        <w:tc>
          <w:tcPr>
            <w:tcW w:w="0" w:type="auto"/>
            <w:vAlign w:val="center"/>
            <w:hideMark/>
          </w:tcPr>
          <w:p w:rsidR="00B32C00" w:rsidRPr="00681204" w:rsidRDefault="00B32C00" w:rsidP="00681204">
            <w:pPr>
              <w:pStyle w:val="tabladerecha8"/>
              <w:jc w:val="center"/>
              <w:rPr>
                <w:rFonts w:ascii="Arial" w:hAnsi="Arial" w:cs="Arial"/>
                <w:b/>
                <w:bCs/>
                <w:color w:val="666666"/>
                <w:sz w:val="18"/>
                <w:szCs w:val="20"/>
              </w:rPr>
            </w:pPr>
            <w:r w:rsidRPr="00681204">
              <w:rPr>
                <w:rFonts w:ascii="Arial" w:hAnsi="Arial" w:cs="Arial"/>
                <w:color w:val="666666"/>
                <w:sz w:val="18"/>
                <w:szCs w:val="20"/>
              </w:rPr>
              <w:t>$ 308,36</w:t>
            </w:r>
          </w:p>
        </w:tc>
        <w:tc>
          <w:tcPr>
            <w:tcW w:w="0" w:type="auto"/>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$ 103,59</w:t>
            </w:r>
          </w:p>
        </w:tc>
        <w:tc>
          <w:tcPr>
            <w:tcW w:w="0" w:type="auto"/>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$ 39,46</w:t>
            </w:r>
          </w:p>
        </w:tc>
        <w:tc>
          <w:tcPr>
            <w:tcW w:w="0" w:type="auto"/>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$ 165</w:t>
            </w:r>
          </w:p>
        </w:tc>
      </w:tr>
      <w:tr w:rsidR="00B32C00" w:rsidRPr="00681204" w:rsidTr="00B32C00">
        <w:trPr>
          <w:tblCellSpacing w:w="15" w:type="dxa"/>
        </w:trPr>
        <w:tc>
          <w:tcPr>
            <w:tcW w:w="0" w:type="auto"/>
            <w:vAlign w:val="center"/>
            <w:hideMark/>
          </w:tcPr>
          <w:p w:rsidR="00B32C00" w:rsidRPr="00681204" w:rsidRDefault="00B32C00" w:rsidP="00681204">
            <w:pPr>
              <w:pStyle w:val="tablaizquierda8"/>
              <w:jc w:val="center"/>
              <w:rPr>
                <w:rFonts w:ascii="Arial" w:hAnsi="Arial" w:cs="Arial"/>
                <w:b/>
                <w:bCs/>
                <w:color w:val="666666"/>
                <w:sz w:val="18"/>
                <w:szCs w:val="20"/>
              </w:rPr>
            </w:pPr>
            <w:r w:rsidRPr="00681204">
              <w:rPr>
                <w:rFonts w:ascii="Arial" w:hAnsi="Arial" w:cs="Arial"/>
                <w:b/>
                <w:bCs/>
                <w:color w:val="666666"/>
                <w:sz w:val="18"/>
                <w:szCs w:val="20"/>
              </w:rPr>
              <w:t>16 o más</w:t>
            </w:r>
          </w:p>
        </w:tc>
        <w:tc>
          <w:tcPr>
            <w:tcW w:w="0" w:type="auto"/>
            <w:vAlign w:val="center"/>
            <w:hideMark/>
          </w:tcPr>
          <w:p w:rsidR="00B32C00" w:rsidRPr="00681204" w:rsidRDefault="00B32C00" w:rsidP="00681204">
            <w:pPr>
              <w:pStyle w:val="tabladerecha8"/>
              <w:jc w:val="center"/>
              <w:rPr>
                <w:rFonts w:ascii="Arial" w:hAnsi="Arial" w:cs="Arial"/>
                <w:b/>
                <w:bCs/>
                <w:color w:val="666666"/>
                <w:sz w:val="18"/>
                <w:szCs w:val="20"/>
              </w:rPr>
            </w:pPr>
            <w:r w:rsidRPr="00681204">
              <w:rPr>
                <w:rFonts w:ascii="Arial" w:hAnsi="Arial" w:cs="Arial"/>
                <w:color w:val="666666"/>
                <w:sz w:val="18"/>
                <w:szCs w:val="20"/>
              </w:rPr>
              <w:t>$ 976,55</w:t>
            </w:r>
          </w:p>
        </w:tc>
        <w:tc>
          <w:tcPr>
            <w:tcW w:w="0" w:type="auto"/>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$ 689,00</w:t>
            </w:r>
          </w:p>
        </w:tc>
        <w:tc>
          <w:tcPr>
            <w:tcW w:w="0" w:type="auto"/>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$ 57,55</w:t>
            </w:r>
          </w:p>
        </w:tc>
        <w:tc>
          <w:tcPr>
            <w:tcW w:w="0" w:type="auto"/>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$ 230</w:t>
            </w:r>
          </w:p>
        </w:tc>
      </w:tr>
    </w:tbl>
    <w:p w:rsidR="00B32C00" w:rsidRPr="00681204" w:rsidRDefault="00B32C00" w:rsidP="00681204">
      <w:pPr>
        <w:pStyle w:val="NormalWeb"/>
        <w:rPr>
          <w:rFonts w:ascii="Arial" w:hAnsi="Arial" w:cs="Arial"/>
          <w:b/>
          <w:bCs/>
          <w:color w:val="666666"/>
          <w:sz w:val="18"/>
          <w:szCs w:val="20"/>
        </w:rPr>
      </w:pPr>
      <w:r w:rsidRPr="00681204">
        <w:rPr>
          <w:rFonts w:ascii="Arial" w:eastAsia="Times New Roman" w:hAnsi="Arial" w:cs="Arial"/>
          <w:b/>
          <w:bCs/>
          <w:color w:val="666666"/>
          <w:sz w:val="18"/>
          <w:szCs w:val="20"/>
        </w:rPr>
        <w:t> </w:t>
      </w:r>
      <w:r w:rsidRPr="00681204">
        <w:rPr>
          <w:rFonts w:ascii="Arial" w:hAnsi="Arial" w:cs="Arial"/>
          <w:b/>
          <w:bCs/>
          <w:color w:val="666666"/>
          <w:sz w:val="18"/>
          <w:szCs w:val="20"/>
        </w:rPr>
        <w:t>Menor de 18 años pero mayor de 16 años:</w:t>
      </w:r>
    </w:p>
    <w:tbl>
      <w:tblPr>
        <w:tblW w:w="4000" w:type="pct"/>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843"/>
        <w:gridCol w:w="985"/>
        <w:gridCol w:w="1818"/>
        <w:gridCol w:w="1261"/>
        <w:gridCol w:w="1244"/>
      </w:tblGrid>
      <w:tr w:rsidR="00B32C00" w:rsidRPr="00681204" w:rsidTr="00B32C00">
        <w:trPr>
          <w:tblCellSpacing w:w="15" w:type="dxa"/>
        </w:trPr>
        <w:tc>
          <w:tcPr>
            <w:tcW w:w="0" w:type="auto"/>
            <w:vMerge w:val="restart"/>
            <w:tcBorders>
              <w:top w:val="single" w:sz="12" w:space="0" w:color="000000"/>
            </w:tcBorders>
            <w:shd w:val="clear" w:color="auto" w:fill="A6A6A6"/>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color w:val="666666"/>
                <w:sz w:val="18"/>
                <w:szCs w:val="20"/>
              </w:rPr>
              <w:t>Horas trabajadas semanalmente</w:t>
            </w:r>
          </w:p>
        </w:tc>
        <w:tc>
          <w:tcPr>
            <w:tcW w:w="0" w:type="auto"/>
            <w:vMerge w:val="restart"/>
            <w:tcBorders>
              <w:top w:val="single" w:sz="12" w:space="0" w:color="000000"/>
            </w:tcBorders>
            <w:shd w:val="clear" w:color="auto" w:fill="A6A6A6"/>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color w:val="666666"/>
                <w:sz w:val="18"/>
                <w:szCs w:val="20"/>
              </w:rPr>
              <w:t>Importe a pagar</w:t>
            </w:r>
          </w:p>
        </w:tc>
        <w:tc>
          <w:tcPr>
            <w:tcW w:w="0" w:type="auto"/>
            <w:gridSpan w:val="3"/>
            <w:tcBorders>
              <w:top w:val="single" w:sz="12" w:space="0" w:color="000000"/>
              <w:bottom w:val="single" w:sz="6" w:space="0" w:color="000000"/>
            </w:tcBorders>
            <w:shd w:val="clear" w:color="auto" w:fill="A6A6A6"/>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color w:val="666666"/>
                <w:sz w:val="18"/>
                <w:szCs w:val="20"/>
              </w:rPr>
              <w:t>Importe de cada concepto que se paga</w:t>
            </w:r>
          </w:p>
        </w:tc>
      </w:tr>
      <w:tr w:rsidR="00B32C00" w:rsidRPr="00681204" w:rsidTr="00B32C00">
        <w:trPr>
          <w:tblCellSpacing w:w="15" w:type="dxa"/>
        </w:trPr>
        <w:tc>
          <w:tcPr>
            <w:tcW w:w="0" w:type="auto"/>
            <w:vMerge/>
            <w:tcBorders>
              <w:top w:val="single" w:sz="12" w:space="0" w:color="000000"/>
            </w:tcBorders>
            <w:vAlign w:val="center"/>
            <w:hideMark/>
          </w:tcPr>
          <w:p w:rsidR="00B32C00" w:rsidRPr="00681204" w:rsidRDefault="00B32C00" w:rsidP="00681204">
            <w:pPr>
              <w:jc w:val="center"/>
              <w:rPr>
                <w:rFonts w:ascii="Arial" w:eastAsia="Times New Roman" w:hAnsi="Arial" w:cs="Arial"/>
                <w:b/>
                <w:bCs/>
                <w:color w:val="666666"/>
                <w:sz w:val="18"/>
                <w:szCs w:val="20"/>
              </w:rPr>
            </w:pPr>
          </w:p>
        </w:tc>
        <w:tc>
          <w:tcPr>
            <w:tcW w:w="0" w:type="auto"/>
            <w:vMerge/>
            <w:tcBorders>
              <w:top w:val="single" w:sz="12" w:space="0" w:color="000000"/>
            </w:tcBorders>
            <w:vAlign w:val="center"/>
            <w:hideMark/>
          </w:tcPr>
          <w:p w:rsidR="00B32C00" w:rsidRPr="00681204" w:rsidRDefault="00B32C00" w:rsidP="00681204">
            <w:pPr>
              <w:jc w:val="center"/>
              <w:rPr>
                <w:rFonts w:ascii="Arial" w:eastAsia="Times New Roman" w:hAnsi="Arial" w:cs="Arial"/>
                <w:b/>
                <w:bCs/>
                <w:color w:val="666666"/>
                <w:sz w:val="18"/>
                <w:szCs w:val="20"/>
              </w:rPr>
            </w:pPr>
          </w:p>
        </w:tc>
        <w:tc>
          <w:tcPr>
            <w:tcW w:w="0" w:type="auto"/>
            <w:tcBorders>
              <w:top w:val="single" w:sz="6" w:space="0" w:color="000000"/>
              <w:bottom w:val="single" w:sz="6" w:space="0" w:color="000000"/>
            </w:tcBorders>
            <w:shd w:val="clear" w:color="auto" w:fill="A6A6A6"/>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color w:val="666666"/>
                <w:sz w:val="18"/>
                <w:szCs w:val="20"/>
              </w:rPr>
              <w:t>Aportes</w:t>
            </w:r>
          </w:p>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color w:val="666666"/>
                <w:sz w:val="18"/>
                <w:szCs w:val="20"/>
              </w:rPr>
              <w:t>(Régimen del Seguro Nacional de Salud)</w:t>
            </w:r>
          </w:p>
        </w:tc>
        <w:tc>
          <w:tcPr>
            <w:tcW w:w="0" w:type="auto"/>
            <w:tcBorders>
              <w:top w:val="single" w:sz="6" w:space="0" w:color="000000"/>
              <w:bottom w:val="single" w:sz="6" w:space="0" w:color="000000"/>
            </w:tcBorders>
            <w:shd w:val="clear" w:color="auto" w:fill="A6A6A6"/>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color w:val="666666"/>
                <w:sz w:val="18"/>
                <w:szCs w:val="20"/>
              </w:rPr>
              <w:t>Contribuciones</w:t>
            </w:r>
          </w:p>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color w:val="666666"/>
                <w:sz w:val="18"/>
                <w:szCs w:val="20"/>
              </w:rPr>
              <w:t>(SIJP)</w:t>
            </w:r>
          </w:p>
        </w:tc>
        <w:tc>
          <w:tcPr>
            <w:tcW w:w="0" w:type="auto"/>
            <w:shd w:val="clear" w:color="auto" w:fill="A6A6A6"/>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color w:val="666666"/>
                <w:sz w:val="18"/>
                <w:szCs w:val="20"/>
              </w:rPr>
              <w:t>Cuota riesgos del trabajo</w:t>
            </w:r>
          </w:p>
        </w:tc>
      </w:tr>
      <w:tr w:rsidR="00B32C00" w:rsidRPr="00681204" w:rsidTr="00B32C00">
        <w:trPr>
          <w:tblCellSpacing w:w="15" w:type="dxa"/>
        </w:trPr>
        <w:tc>
          <w:tcPr>
            <w:tcW w:w="0" w:type="auto"/>
            <w:vAlign w:val="center"/>
            <w:hideMark/>
          </w:tcPr>
          <w:p w:rsidR="00B32C00" w:rsidRPr="00681204" w:rsidRDefault="00B32C00" w:rsidP="00681204">
            <w:pPr>
              <w:pStyle w:val="tablaizquierda8"/>
              <w:jc w:val="center"/>
              <w:rPr>
                <w:rFonts w:ascii="Arial" w:hAnsi="Arial" w:cs="Arial"/>
                <w:b/>
                <w:bCs/>
                <w:color w:val="666666"/>
                <w:sz w:val="18"/>
                <w:szCs w:val="20"/>
              </w:rPr>
            </w:pPr>
            <w:r w:rsidRPr="00681204">
              <w:rPr>
                <w:rFonts w:ascii="Arial" w:hAnsi="Arial" w:cs="Arial"/>
                <w:b/>
                <w:bCs/>
                <w:color w:val="666666"/>
                <w:sz w:val="18"/>
                <w:szCs w:val="20"/>
              </w:rPr>
              <w:t>Menos de 12</w:t>
            </w:r>
          </w:p>
        </w:tc>
        <w:tc>
          <w:tcPr>
            <w:tcW w:w="0" w:type="auto"/>
            <w:vAlign w:val="center"/>
            <w:hideMark/>
          </w:tcPr>
          <w:p w:rsidR="00B32C00" w:rsidRPr="00681204" w:rsidRDefault="00B32C00" w:rsidP="00681204">
            <w:pPr>
              <w:pStyle w:val="tabladerecha8"/>
              <w:jc w:val="center"/>
              <w:rPr>
                <w:rFonts w:ascii="Arial" w:hAnsi="Arial" w:cs="Arial"/>
                <w:b/>
                <w:bCs/>
                <w:color w:val="666666"/>
                <w:sz w:val="18"/>
                <w:szCs w:val="20"/>
              </w:rPr>
            </w:pPr>
            <w:r w:rsidRPr="00681204">
              <w:rPr>
                <w:rFonts w:ascii="Arial" w:hAnsi="Arial" w:cs="Arial"/>
                <w:color w:val="666666"/>
                <w:sz w:val="18"/>
                <w:szCs w:val="20"/>
              </w:rPr>
              <w:t>$ 185,91</w:t>
            </w:r>
          </w:p>
        </w:tc>
        <w:tc>
          <w:tcPr>
            <w:tcW w:w="0" w:type="auto"/>
            <w:tcBorders>
              <w:top w:val="single" w:sz="6" w:space="0" w:color="000000"/>
            </w:tcBorders>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$ 55,91</w:t>
            </w:r>
          </w:p>
        </w:tc>
        <w:tc>
          <w:tcPr>
            <w:tcW w:w="0" w:type="auto"/>
            <w:tcBorders>
              <w:top w:val="single" w:sz="6" w:space="0" w:color="000000"/>
            </w:tcBorders>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w:t>
            </w:r>
          </w:p>
        </w:tc>
        <w:tc>
          <w:tcPr>
            <w:tcW w:w="0" w:type="auto"/>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$ 130</w:t>
            </w:r>
          </w:p>
        </w:tc>
      </w:tr>
      <w:tr w:rsidR="00B32C00" w:rsidRPr="00681204" w:rsidTr="00B32C00">
        <w:trPr>
          <w:tblCellSpacing w:w="15" w:type="dxa"/>
        </w:trPr>
        <w:tc>
          <w:tcPr>
            <w:tcW w:w="0" w:type="auto"/>
            <w:vAlign w:val="center"/>
            <w:hideMark/>
          </w:tcPr>
          <w:p w:rsidR="00B32C00" w:rsidRPr="00681204" w:rsidRDefault="00B32C00" w:rsidP="00681204">
            <w:pPr>
              <w:pStyle w:val="tablaizquierda8"/>
              <w:jc w:val="center"/>
              <w:rPr>
                <w:rFonts w:ascii="Arial" w:hAnsi="Arial" w:cs="Arial"/>
                <w:b/>
                <w:bCs/>
                <w:color w:val="666666"/>
                <w:sz w:val="18"/>
                <w:szCs w:val="20"/>
              </w:rPr>
            </w:pPr>
            <w:r w:rsidRPr="00681204">
              <w:rPr>
                <w:rFonts w:ascii="Arial" w:hAnsi="Arial" w:cs="Arial"/>
                <w:b/>
                <w:bCs/>
                <w:color w:val="666666"/>
                <w:sz w:val="18"/>
                <w:szCs w:val="20"/>
              </w:rPr>
              <w:t>Desde 12 a menos de 16</w:t>
            </w:r>
          </w:p>
        </w:tc>
        <w:tc>
          <w:tcPr>
            <w:tcW w:w="0" w:type="auto"/>
            <w:vAlign w:val="center"/>
            <w:hideMark/>
          </w:tcPr>
          <w:p w:rsidR="00B32C00" w:rsidRPr="00681204" w:rsidRDefault="00B32C00" w:rsidP="00681204">
            <w:pPr>
              <w:pStyle w:val="tabladerecha8"/>
              <w:jc w:val="center"/>
              <w:rPr>
                <w:rFonts w:ascii="Arial" w:hAnsi="Arial" w:cs="Arial"/>
                <w:b/>
                <w:bCs/>
                <w:color w:val="666666"/>
                <w:sz w:val="18"/>
                <w:szCs w:val="20"/>
              </w:rPr>
            </w:pPr>
            <w:r w:rsidRPr="00681204">
              <w:rPr>
                <w:rFonts w:ascii="Arial" w:hAnsi="Arial" w:cs="Arial"/>
                <w:color w:val="666666"/>
                <w:sz w:val="18"/>
                <w:szCs w:val="20"/>
              </w:rPr>
              <w:t>$ 268,59</w:t>
            </w:r>
          </w:p>
        </w:tc>
        <w:tc>
          <w:tcPr>
            <w:tcW w:w="0" w:type="auto"/>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$ 103,59</w:t>
            </w:r>
          </w:p>
        </w:tc>
        <w:tc>
          <w:tcPr>
            <w:tcW w:w="0" w:type="auto"/>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w:t>
            </w:r>
          </w:p>
        </w:tc>
        <w:tc>
          <w:tcPr>
            <w:tcW w:w="0" w:type="auto"/>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$ 165</w:t>
            </w:r>
          </w:p>
        </w:tc>
      </w:tr>
      <w:tr w:rsidR="00B32C00" w:rsidRPr="00681204" w:rsidTr="00B32C00">
        <w:trPr>
          <w:tblCellSpacing w:w="15" w:type="dxa"/>
        </w:trPr>
        <w:tc>
          <w:tcPr>
            <w:tcW w:w="0" w:type="auto"/>
            <w:vAlign w:val="center"/>
            <w:hideMark/>
          </w:tcPr>
          <w:p w:rsidR="00B32C00" w:rsidRPr="00681204" w:rsidRDefault="00B32C00" w:rsidP="00681204">
            <w:pPr>
              <w:pStyle w:val="tablaizquierda8"/>
              <w:jc w:val="center"/>
              <w:rPr>
                <w:rFonts w:ascii="Arial" w:hAnsi="Arial" w:cs="Arial"/>
                <w:b/>
                <w:bCs/>
                <w:color w:val="666666"/>
                <w:sz w:val="18"/>
                <w:szCs w:val="20"/>
              </w:rPr>
            </w:pPr>
            <w:r w:rsidRPr="00681204">
              <w:rPr>
                <w:rFonts w:ascii="Arial" w:hAnsi="Arial" w:cs="Arial"/>
                <w:b/>
                <w:bCs/>
                <w:color w:val="666666"/>
                <w:sz w:val="18"/>
                <w:szCs w:val="20"/>
              </w:rPr>
              <w:t>16 o más</w:t>
            </w:r>
          </w:p>
        </w:tc>
        <w:tc>
          <w:tcPr>
            <w:tcW w:w="0" w:type="auto"/>
            <w:vAlign w:val="center"/>
            <w:hideMark/>
          </w:tcPr>
          <w:p w:rsidR="00B32C00" w:rsidRPr="00681204" w:rsidRDefault="00B32C00" w:rsidP="00681204">
            <w:pPr>
              <w:pStyle w:val="tabladerecha8"/>
              <w:jc w:val="center"/>
              <w:rPr>
                <w:rFonts w:ascii="Arial" w:hAnsi="Arial" w:cs="Arial"/>
                <w:b/>
                <w:bCs/>
                <w:color w:val="666666"/>
                <w:sz w:val="18"/>
                <w:szCs w:val="20"/>
              </w:rPr>
            </w:pPr>
            <w:r w:rsidRPr="00681204">
              <w:rPr>
                <w:rFonts w:ascii="Arial" w:hAnsi="Arial" w:cs="Arial"/>
                <w:color w:val="666666"/>
                <w:sz w:val="18"/>
                <w:szCs w:val="20"/>
              </w:rPr>
              <w:t>$ 919,00</w:t>
            </w:r>
          </w:p>
        </w:tc>
        <w:tc>
          <w:tcPr>
            <w:tcW w:w="0" w:type="auto"/>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$ 689,00</w:t>
            </w:r>
          </w:p>
        </w:tc>
        <w:tc>
          <w:tcPr>
            <w:tcW w:w="0" w:type="auto"/>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w:t>
            </w:r>
          </w:p>
        </w:tc>
        <w:tc>
          <w:tcPr>
            <w:tcW w:w="0" w:type="auto"/>
            <w:vAlign w:val="center"/>
            <w:hideMark/>
          </w:tcPr>
          <w:p w:rsidR="00B32C00" w:rsidRPr="00681204" w:rsidRDefault="00B32C00" w:rsidP="00681204">
            <w:pPr>
              <w:pStyle w:val="tablacentrado8"/>
              <w:jc w:val="center"/>
              <w:rPr>
                <w:rFonts w:ascii="Arial" w:hAnsi="Arial" w:cs="Arial"/>
                <w:b/>
                <w:bCs/>
                <w:color w:val="666666"/>
                <w:sz w:val="18"/>
                <w:szCs w:val="20"/>
              </w:rPr>
            </w:pPr>
            <w:r w:rsidRPr="00681204">
              <w:rPr>
                <w:rFonts w:ascii="Arial" w:hAnsi="Arial" w:cs="Arial"/>
                <w:b/>
                <w:bCs/>
                <w:color w:val="666666"/>
                <w:sz w:val="18"/>
                <w:szCs w:val="20"/>
              </w:rPr>
              <w:t>$ 230</w:t>
            </w:r>
          </w:p>
        </w:tc>
      </w:tr>
    </w:tbl>
    <w:p w:rsidR="00B32C00" w:rsidRPr="00681204" w:rsidRDefault="00B32C00" w:rsidP="00681204">
      <w:pPr>
        <w:pStyle w:val="sangrianovedades"/>
        <w:spacing w:line="360" w:lineRule="auto"/>
        <w:jc w:val="both"/>
        <w:rPr>
          <w:rFonts w:ascii="Arial" w:hAnsi="Arial" w:cs="Arial"/>
          <w:b/>
          <w:bCs/>
          <w:color w:val="666666"/>
          <w:sz w:val="18"/>
          <w:szCs w:val="20"/>
          <w:lang w:val="es-ES" w:eastAsia="es-ES"/>
        </w:rPr>
      </w:pPr>
      <w:r w:rsidRPr="00681204">
        <w:rPr>
          <w:rFonts w:ascii="Arial" w:hAnsi="Arial" w:cs="Arial"/>
          <w:b/>
          <w:bCs/>
          <w:color w:val="666666"/>
          <w:sz w:val="18"/>
          <w:szCs w:val="20"/>
          <w:lang w:val="es-ES" w:eastAsia="es-ES"/>
        </w:rPr>
        <w:t>El diez por ciento (10%) del aporte de seiscientos ochenta y nueve pesos ($ 689,00) previsto en los cuadros anteriores, se destinará al Fondo Solidario de Redistribución establecido por el artículo 22 de la ley 23661 y sus modificaciones.</w:t>
      </w:r>
    </w:p>
    <w:p w:rsidR="00B32C00" w:rsidRPr="00681204" w:rsidRDefault="00B32C00" w:rsidP="00681204">
      <w:pPr>
        <w:pStyle w:val="textonovedades"/>
        <w:spacing w:line="360" w:lineRule="auto"/>
        <w:rPr>
          <w:rFonts w:ascii="Arial" w:hAnsi="Arial" w:cs="Arial"/>
          <w:b/>
          <w:bCs/>
          <w:color w:val="666666"/>
          <w:sz w:val="18"/>
          <w:szCs w:val="20"/>
          <w:lang w:val="es-ES" w:eastAsia="es-ES"/>
        </w:rPr>
      </w:pPr>
      <w:r w:rsidRPr="00681204">
        <w:rPr>
          <w:rFonts w:ascii="Arial" w:hAnsi="Arial" w:cs="Arial"/>
          <w:color w:val="666666"/>
          <w:sz w:val="18"/>
          <w:szCs w:val="20"/>
          <w:lang w:val="es-ES" w:eastAsia="es-ES"/>
        </w:rPr>
        <w:t>b) Por cada trabajador jubilado:</w:t>
      </w:r>
    </w:p>
    <w:tbl>
      <w:tblPr>
        <w:tblW w:w="4000" w:type="pct"/>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858"/>
        <w:gridCol w:w="983"/>
        <w:gridCol w:w="1810"/>
        <w:gridCol w:w="1261"/>
        <w:gridCol w:w="1239"/>
      </w:tblGrid>
      <w:tr w:rsidR="00B32C00" w:rsidRPr="00681204" w:rsidTr="00B32C00">
        <w:trPr>
          <w:tblCellSpacing w:w="15" w:type="dxa"/>
        </w:trPr>
        <w:tc>
          <w:tcPr>
            <w:tcW w:w="0" w:type="auto"/>
            <w:vMerge w:val="restart"/>
            <w:tcBorders>
              <w:top w:val="single" w:sz="12" w:space="0" w:color="000000"/>
            </w:tcBorders>
            <w:shd w:val="clear" w:color="auto" w:fill="A6A6A6"/>
            <w:vAlign w:val="center"/>
            <w:hideMark/>
          </w:tcPr>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b/>
                <w:bCs/>
                <w:color w:val="666666"/>
                <w:sz w:val="18"/>
                <w:szCs w:val="20"/>
              </w:rPr>
              <w:lastRenderedPageBreak/>
              <w:t> </w:t>
            </w:r>
            <w:r w:rsidRPr="00681204">
              <w:rPr>
                <w:rFonts w:ascii="Arial" w:hAnsi="Arial" w:cs="Arial"/>
                <w:color w:val="666666"/>
                <w:sz w:val="18"/>
                <w:szCs w:val="20"/>
              </w:rPr>
              <w:t>Horas trabajadas semanalmente</w:t>
            </w:r>
          </w:p>
        </w:tc>
        <w:tc>
          <w:tcPr>
            <w:tcW w:w="0" w:type="auto"/>
            <w:vMerge w:val="restart"/>
            <w:tcBorders>
              <w:top w:val="single" w:sz="12" w:space="0" w:color="000000"/>
            </w:tcBorders>
            <w:shd w:val="clear" w:color="auto" w:fill="A6A6A6"/>
            <w:vAlign w:val="center"/>
            <w:hideMark/>
          </w:tcPr>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color w:val="666666"/>
                <w:sz w:val="18"/>
                <w:szCs w:val="20"/>
              </w:rPr>
              <w:t>Importe a pagar</w:t>
            </w:r>
          </w:p>
        </w:tc>
        <w:tc>
          <w:tcPr>
            <w:tcW w:w="0" w:type="auto"/>
            <w:gridSpan w:val="3"/>
            <w:tcBorders>
              <w:top w:val="single" w:sz="12" w:space="0" w:color="000000"/>
              <w:bottom w:val="single" w:sz="6" w:space="0" w:color="000000"/>
            </w:tcBorders>
            <w:shd w:val="clear" w:color="auto" w:fill="A6A6A6"/>
            <w:vAlign w:val="center"/>
            <w:hideMark/>
          </w:tcPr>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color w:val="666666"/>
                <w:sz w:val="18"/>
                <w:szCs w:val="20"/>
              </w:rPr>
              <w:t>Importe de cada concepto que se paga</w:t>
            </w:r>
          </w:p>
        </w:tc>
      </w:tr>
      <w:tr w:rsidR="00B32C00" w:rsidRPr="00681204" w:rsidTr="00B32C00">
        <w:trPr>
          <w:tblCellSpacing w:w="15" w:type="dxa"/>
        </w:trPr>
        <w:tc>
          <w:tcPr>
            <w:tcW w:w="0" w:type="auto"/>
            <w:vMerge/>
            <w:tcBorders>
              <w:top w:val="single" w:sz="12" w:space="0" w:color="000000"/>
            </w:tcBorders>
            <w:vAlign w:val="center"/>
            <w:hideMark/>
          </w:tcPr>
          <w:p w:rsidR="00B32C00" w:rsidRPr="00681204" w:rsidRDefault="00B32C00" w:rsidP="00681204">
            <w:pPr>
              <w:jc w:val="right"/>
              <w:rPr>
                <w:rFonts w:ascii="Arial" w:eastAsia="Times New Roman" w:hAnsi="Arial" w:cs="Arial"/>
                <w:b/>
                <w:bCs/>
                <w:color w:val="666666"/>
                <w:sz w:val="18"/>
                <w:szCs w:val="20"/>
              </w:rPr>
            </w:pPr>
          </w:p>
        </w:tc>
        <w:tc>
          <w:tcPr>
            <w:tcW w:w="0" w:type="auto"/>
            <w:vMerge/>
            <w:tcBorders>
              <w:top w:val="single" w:sz="12" w:space="0" w:color="000000"/>
            </w:tcBorders>
            <w:vAlign w:val="center"/>
            <w:hideMark/>
          </w:tcPr>
          <w:p w:rsidR="00B32C00" w:rsidRPr="00681204" w:rsidRDefault="00B32C00" w:rsidP="00681204">
            <w:pPr>
              <w:jc w:val="right"/>
              <w:rPr>
                <w:rFonts w:ascii="Arial" w:eastAsia="Times New Roman" w:hAnsi="Arial" w:cs="Arial"/>
                <w:b/>
                <w:bCs/>
                <w:color w:val="666666"/>
                <w:sz w:val="18"/>
                <w:szCs w:val="20"/>
              </w:rPr>
            </w:pPr>
          </w:p>
        </w:tc>
        <w:tc>
          <w:tcPr>
            <w:tcW w:w="0" w:type="auto"/>
            <w:tcBorders>
              <w:top w:val="single" w:sz="6" w:space="0" w:color="000000"/>
              <w:bottom w:val="single" w:sz="6" w:space="0" w:color="000000"/>
            </w:tcBorders>
            <w:shd w:val="clear" w:color="auto" w:fill="A6A6A6"/>
            <w:vAlign w:val="center"/>
            <w:hideMark/>
          </w:tcPr>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color w:val="666666"/>
                <w:sz w:val="18"/>
                <w:szCs w:val="20"/>
              </w:rPr>
              <w:t>Aportes</w:t>
            </w:r>
          </w:p>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color w:val="666666"/>
                <w:sz w:val="18"/>
                <w:szCs w:val="20"/>
              </w:rPr>
              <w:t>(Régimen del Seguro Nacional de Salud)</w:t>
            </w:r>
          </w:p>
        </w:tc>
        <w:tc>
          <w:tcPr>
            <w:tcW w:w="0" w:type="auto"/>
            <w:tcBorders>
              <w:top w:val="single" w:sz="6" w:space="0" w:color="000000"/>
              <w:bottom w:val="single" w:sz="6" w:space="0" w:color="000000"/>
            </w:tcBorders>
            <w:shd w:val="clear" w:color="auto" w:fill="A6A6A6"/>
            <w:vAlign w:val="center"/>
            <w:hideMark/>
          </w:tcPr>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color w:val="666666"/>
                <w:sz w:val="18"/>
                <w:szCs w:val="20"/>
              </w:rPr>
              <w:t>Contribuciones</w:t>
            </w:r>
          </w:p>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color w:val="666666"/>
                <w:sz w:val="18"/>
                <w:szCs w:val="20"/>
              </w:rPr>
              <w:t>(SIJP)</w:t>
            </w:r>
          </w:p>
        </w:tc>
        <w:tc>
          <w:tcPr>
            <w:tcW w:w="0" w:type="auto"/>
            <w:shd w:val="clear" w:color="auto" w:fill="A6A6A6"/>
            <w:vAlign w:val="center"/>
            <w:hideMark/>
          </w:tcPr>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color w:val="666666"/>
                <w:sz w:val="18"/>
                <w:szCs w:val="20"/>
              </w:rPr>
              <w:t>Cuota riesgos del trabajo</w:t>
            </w:r>
          </w:p>
        </w:tc>
      </w:tr>
      <w:tr w:rsidR="00B32C00" w:rsidRPr="00681204" w:rsidTr="00B32C00">
        <w:trPr>
          <w:tblCellSpacing w:w="15" w:type="dxa"/>
        </w:trPr>
        <w:tc>
          <w:tcPr>
            <w:tcW w:w="0" w:type="auto"/>
            <w:vAlign w:val="center"/>
            <w:hideMark/>
          </w:tcPr>
          <w:p w:rsidR="00B32C00" w:rsidRPr="00681204" w:rsidRDefault="00B32C00" w:rsidP="00681204">
            <w:pPr>
              <w:pStyle w:val="tablaizquierda8"/>
              <w:jc w:val="right"/>
              <w:rPr>
                <w:rFonts w:ascii="Arial" w:hAnsi="Arial" w:cs="Arial"/>
                <w:b/>
                <w:bCs/>
                <w:color w:val="666666"/>
                <w:sz w:val="18"/>
                <w:szCs w:val="20"/>
              </w:rPr>
            </w:pPr>
            <w:r w:rsidRPr="00681204">
              <w:rPr>
                <w:rFonts w:ascii="Arial" w:hAnsi="Arial" w:cs="Arial"/>
                <w:b/>
                <w:bCs/>
                <w:color w:val="666666"/>
                <w:sz w:val="18"/>
                <w:szCs w:val="20"/>
              </w:rPr>
              <w:t>Menos de 12</w:t>
            </w:r>
          </w:p>
        </w:tc>
        <w:tc>
          <w:tcPr>
            <w:tcW w:w="0" w:type="auto"/>
            <w:vAlign w:val="center"/>
            <w:hideMark/>
          </w:tcPr>
          <w:p w:rsidR="00B32C00" w:rsidRPr="00681204" w:rsidRDefault="00B32C00" w:rsidP="00681204">
            <w:pPr>
              <w:pStyle w:val="tabladerecha8"/>
              <w:jc w:val="right"/>
              <w:rPr>
                <w:rFonts w:ascii="Arial" w:hAnsi="Arial" w:cs="Arial"/>
                <w:b/>
                <w:bCs/>
                <w:color w:val="666666"/>
                <w:sz w:val="18"/>
                <w:szCs w:val="20"/>
              </w:rPr>
            </w:pPr>
            <w:r w:rsidRPr="00681204">
              <w:rPr>
                <w:rFonts w:ascii="Arial" w:hAnsi="Arial" w:cs="Arial"/>
                <w:color w:val="666666"/>
                <w:sz w:val="18"/>
                <w:szCs w:val="20"/>
              </w:rPr>
              <w:t>$ 149,73</w:t>
            </w:r>
          </w:p>
        </w:tc>
        <w:tc>
          <w:tcPr>
            <w:tcW w:w="0" w:type="auto"/>
            <w:tcBorders>
              <w:top w:val="single" w:sz="6" w:space="0" w:color="000000"/>
            </w:tcBorders>
            <w:vAlign w:val="center"/>
            <w:hideMark/>
          </w:tcPr>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b/>
                <w:bCs/>
                <w:color w:val="666666"/>
                <w:sz w:val="18"/>
                <w:szCs w:val="20"/>
              </w:rPr>
              <w:t>-</w:t>
            </w:r>
          </w:p>
        </w:tc>
        <w:tc>
          <w:tcPr>
            <w:tcW w:w="0" w:type="auto"/>
            <w:tcBorders>
              <w:top w:val="single" w:sz="6" w:space="0" w:color="000000"/>
            </w:tcBorders>
            <w:vAlign w:val="center"/>
            <w:hideMark/>
          </w:tcPr>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b/>
                <w:bCs/>
                <w:color w:val="666666"/>
                <w:sz w:val="18"/>
                <w:szCs w:val="20"/>
              </w:rPr>
              <w:t>$ 19,73</w:t>
            </w:r>
          </w:p>
        </w:tc>
        <w:tc>
          <w:tcPr>
            <w:tcW w:w="0" w:type="auto"/>
            <w:vAlign w:val="center"/>
            <w:hideMark/>
          </w:tcPr>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b/>
                <w:bCs/>
                <w:color w:val="666666"/>
                <w:sz w:val="18"/>
                <w:szCs w:val="20"/>
              </w:rPr>
              <w:t>$ 130</w:t>
            </w:r>
          </w:p>
        </w:tc>
      </w:tr>
      <w:tr w:rsidR="00B32C00" w:rsidRPr="00681204" w:rsidTr="00B32C00">
        <w:trPr>
          <w:tblCellSpacing w:w="15" w:type="dxa"/>
        </w:trPr>
        <w:tc>
          <w:tcPr>
            <w:tcW w:w="0" w:type="auto"/>
            <w:vAlign w:val="center"/>
            <w:hideMark/>
          </w:tcPr>
          <w:p w:rsidR="00B32C00" w:rsidRPr="00681204" w:rsidRDefault="00B32C00" w:rsidP="00681204">
            <w:pPr>
              <w:pStyle w:val="tablaizquierda8"/>
              <w:jc w:val="right"/>
              <w:rPr>
                <w:rFonts w:ascii="Arial" w:hAnsi="Arial" w:cs="Arial"/>
                <w:b/>
                <w:bCs/>
                <w:color w:val="666666"/>
                <w:sz w:val="18"/>
                <w:szCs w:val="20"/>
              </w:rPr>
            </w:pPr>
            <w:r w:rsidRPr="00681204">
              <w:rPr>
                <w:rFonts w:ascii="Arial" w:hAnsi="Arial" w:cs="Arial"/>
                <w:b/>
                <w:bCs/>
                <w:color w:val="666666"/>
                <w:sz w:val="18"/>
                <w:szCs w:val="20"/>
              </w:rPr>
              <w:t>Desde 12 a menos de 16</w:t>
            </w:r>
          </w:p>
        </w:tc>
        <w:tc>
          <w:tcPr>
            <w:tcW w:w="0" w:type="auto"/>
            <w:vAlign w:val="center"/>
            <w:hideMark/>
          </w:tcPr>
          <w:p w:rsidR="00B32C00" w:rsidRPr="00681204" w:rsidRDefault="00B32C00" w:rsidP="00681204">
            <w:pPr>
              <w:pStyle w:val="tabladerecha8"/>
              <w:jc w:val="right"/>
              <w:rPr>
                <w:rFonts w:ascii="Arial" w:hAnsi="Arial" w:cs="Arial"/>
                <w:b/>
                <w:bCs/>
                <w:color w:val="666666"/>
                <w:sz w:val="18"/>
                <w:szCs w:val="20"/>
              </w:rPr>
            </w:pPr>
            <w:r w:rsidRPr="00681204">
              <w:rPr>
                <w:rFonts w:ascii="Arial" w:hAnsi="Arial" w:cs="Arial"/>
                <w:color w:val="666666"/>
                <w:sz w:val="18"/>
                <w:szCs w:val="20"/>
              </w:rPr>
              <w:t>$ 204,46</w:t>
            </w:r>
          </w:p>
        </w:tc>
        <w:tc>
          <w:tcPr>
            <w:tcW w:w="0" w:type="auto"/>
            <w:vAlign w:val="center"/>
            <w:hideMark/>
          </w:tcPr>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b/>
                <w:bCs/>
                <w:color w:val="666666"/>
                <w:sz w:val="18"/>
                <w:szCs w:val="20"/>
              </w:rPr>
              <w:t>-</w:t>
            </w:r>
          </w:p>
        </w:tc>
        <w:tc>
          <w:tcPr>
            <w:tcW w:w="0" w:type="auto"/>
            <w:vAlign w:val="center"/>
            <w:hideMark/>
          </w:tcPr>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b/>
                <w:bCs/>
                <w:color w:val="666666"/>
                <w:sz w:val="18"/>
                <w:szCs w:val="20"/>
              </w:rPr>
              <w:t>$ 39,46</w:t>
            </w:r>
          </w:p>
        </w:tc>
        <w:tc>
          <w:tcPr>
            <w:tcW w:w="0" w:type="auto"/>
            <w:vAlign w:val="center"/>
            <w:hideMark/>
          </w:tcPr>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b/>
                <w:bCs/>
                <w:color w:val="666666"/>
                <w:sz w:val="18"/>
                <w:szCs w:val="20"/>
              </w:rPr>
              <w:t>$ 165</w:t>
            </w:r>
          </w:p>
        </w:tc>
      </w:tr>
      <w:tr w:rsidR="00B32C00" w:rsidRPr="00681204" w:rsidTr="00B32C00">
        <w:trPr>
          <w:tblCellSpacing w:w="15" w:type="dxa"/>
        </w:trPr>
        <w:tc>
          <w:tcPr>
            <w:tcW w:w="0" w:type="auto"/>
            <w:vAlign w:val="center"/>
            <w:hideMark/>
          </w:tcPr>
          <w:p w:rsidR="00B32C00" w:rsidRPr="00681204" w:rsidRDefault="00B32C00" w:rsidP="00681204">
            <w:pPr>
              <w:pStyle w:val="tablaizquierda8"/>
              <w:jc w:val="right"/>
              <w:rPr>
                <w:rFonts w:ascii="Arial" w:hAnsi="Arial" w:cs="Arial"/>
                <w:b/>
                <w:bCs/>
                <w:color w:val="666666"/>
                <w:sz w:val="18"/>
                <w:szCs w:val="20"/>
              </w:rPr>
            </w:pPr>
            <w:r w:rsidRPr="00681204">
              <w:rPr>
                <w:rFonts w:ascii="Arial" w:hAnsi="Arial" w:cs="Arial"/>
                <w:b/>
                <w:bCs/>
                <w:color w:val="666666"/>
                <w:sz w:val="18"/>
                <w:szCs w:val="20"/>
              </w:rPr>
              <w:t>16 o más</w:t>
            </w:r>
          </w:p>
        </w:tc>
        <w:tc>
          <w:tcPr>
            <w:tcW w:w="0" w:type="auto"/>
            <w:vAlign w:val="center"/>
            <w:hideMark/>
          </w:tcPr>
          <w:p w:rsidR="00B32C00" w:rsidRPr="00681204" w:rsidRDefault="00B32C00" w:rsidP="00681204">
            <w:pPr>
              <w:pStyle w:val="tabladerecha8"/>
              <w:jc w:val="right"/>
              <w:rPr>
                <w:rFonts w:ascii="Arial" w:hAnsi="Arial" w:cs="Arial"/>
                <w:b/>
                <w:bCs/>
                <w:color w:val="666666"/>
                <w:sz w:val="18"/>
                <w:szCs w:val="20"/>
              </w:rPr>
            </w:pPr>
            <w:r w:rsidRPr="00681204">
              <w:rPr>
                <w:rFonts w:ascii="Arial" w:hAnsi="Arial" w:cs="Arial"/>
                <w:color w:val="666666"/>
                <w:sz w:val="18"/>
                <w:szCs w:val="20"/>
              </w:rPr>
              <w:t>$ 287,55</w:t>
            </w:r>
          </w:p>
        </w:tc>
        <w:tc>
          <w:tcPr>
            <w:tcW w:w="0" w:type="auto"/>
            <w:vAlign w:val="center"/>
            <w:hideMark/>
          </w:tcPr>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b/>
                <w:bCs/>
                <w:color w:val="666666"/>
                <w:sz w:val="18"/>
                <w:szCs w:val="20"/>
              </w:rPr>
              <w:t>-</w:t>
            </w:r>
          </w:p>
        </w:tc>
        <w:tc>
          <w:tcPr>
            <w:tcW w:w="0" w:type="auto"/>
            <w:vAlign w:val="center"/>
            <w:hideMark/>
          </w:tcPr>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b/>
                <w:bCs/>
                <w:color w:val="666666"/>
                <w:sz w:val="18"/>
                <w:szCs w:val="20"/>
              </w:rPr>
              <w:t>$ 57,55</w:t>
            </w:r>
          </w:p>
        </w:tc>
        <w:tc>
          <w:tcPr>
            <w:tcW w:w="0" w:type="auto"/>
            <w:vAlign w:val="center"/>
            <w:hideMark/>
          </w:tcPr>
          <w:p w:rsidR="00B32C00" w:rsidRPr="00681204" w:rsidRDefault="00B32C00" w:rsidP="00681204">
            <w:pPr>
              <w:pStyle w:val="tablacentrado8"/>
              <w:jc w:val="right"/>
              <w:rPr>
                <w:rFonts w:ascii="Arial" w:hAnsi="Arial" w:cs="Arial"/>
                <w:b/>
                <w:bCs/>
                <w:color w:val="666666"/>
                <w:sz w:val="18"/>
                <w:szCs w:val="20"/>
              </w:rPr>
            </w:pPr>
            <w:r w:rsidRPr="00681204">
              <w:rPr>
                <w:rFonts w:ascii="Arial" w:hAnsi="Arial" w:cs="Arial"/>
                <w:b/>
                <w:bCs/>
                <w:color w:val="666666"/>
                <w:sz w:val="18"/>
                <w:szCs w:val="20"/>
              </w:rPr>
              <w:t>$ 230</w:t>
            </w:r>
          </w:p>
        </w:tc>
      </w:tr>
    </w:tbl>
    <w:p w:rsidR="00B32C00" w:rsidRPr="00681204" w:rsidRDefault="00B32C00" w:rsidP="00681204">
      <w:pPr>
        <w:pStyle w:val="NormalWeb"/>
        <w:rPr>
          <w:rFonts w:ascii="Arial" w:hAnsi="Arial" w:cs="Arial"/>
          <w:b/>
          <w:bCs/>
          <w:color w:val="666666"/>
          <w:sz w:val="18"/>
          <w:szCs w:val="20"/>
        </w:rPr>
      </w:pPr>
      <w:r w:rsidRPr="00681204">
        <w:rPr>
          <w:rFonts w:ascii="Arial" w:eastAsia="Times New Roman" w:hAnsi="Arial" w:cs="Arial"/>
          <w:b/>
          <w:bCs/>
          <w:color w:val="666666"/>
          <w:sz w:val="18"/>
          <w:szCs w:val="20"/>
        </w:rPr>
        <w:t> </w:t>
      </w:r>
      <w:r w:rsidRPr="00681204">
        <w:rPr>
          <w:rFonts w:ascii="Arial" w:hAnsi="Arial" w:cs="Arial"/>
          <w:b/>
          <w:bCs/>
          <w:color w:val="666666"/>
          <w:sz w:val="18"/>
          <w:szCs w:val="20"/>
        </w:rPr>
        <w:t>VOLANTES DE PAGO DE APORTES Y CONTRIBUCIONES Y ART</w:t>
      </w:r>
    </w:p>
    <w:tbl>
      <w:tblPr>
        <w:tblW w:w="3400" w:type="pct"/>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106"/>
        <w:gridCol w:w="4973"/>
      </w:tblGrid>
      <w:tr w:rsidR="00B32C00" w:rsidRPr="00681204" w:rsidTr="00B32C00">
        <w:trPr>
          <w:trHeight w:val="276"/>
          <w:tblCellSpacing w:w="15" w:type="dxa"/>
        </w:trPr>
        <w:tc>
          <w:tcPr>
            <w:tcW w:w="0" w:type="auto"/>
            <w:vMerge w:val="restart"/>
            <w:tcBorders>
              <w:top w:val="single" w:sz="12" w:space="0" w:color="000000"/>
            </w:tcBorders>
            <w:shd w:val="clear" w:color="auto" w:fill="A6A6A6"/>
            <w:vAlign w:val="center"/>
            <w:hideMark/>
          </w:tcPr>
          <w:p w:rsidR="00B32C00" w:rsidRPr="00681204" w:rsidRDefault="00B32C00" w:rsidP="00B32C00">
            <w:pPr>
              <w:pStyle w:val="tablacentrado8"/>
              <w:spacing w:line="180" w:lineRule="atLeast"/>
              <w:rPr>
                <w:rFonts w:ascii="Arial" w:hAnsi="Arial" w:cs="Arial"/>
                <w:b/>
                <w:bCs/>
                <w:color w:val="666666"/>
                <w:sz w:val="18"/>
                <w:szCs w:val="20"/>
              </w:rPr>
            </w:pPr>
            <w:r w:rsidRPr="00681204">
              <w:rPr>
                <w:rFonts w:ascii="Arial" w:hAnsi="Arial" w:cs="Arial"/>
                <w:b/>
                <w:bCs/>
                <w:color w:val="666666"/>
                <w:sz w:val="18"/>
                <w:szCs w:val="20"/>
              </w:rPr>
              <w:t> </w:t>
            </w:r>
            <w:bookmarkStart w:id="2" w:name="_GoBack"/>
            <w:bookmarkEnd w:id="2"/>
            <w:r w:rsidRPr="00681204">
              <w:rPr>
                <w:rFonts w:ascii="Arial" w:hAnsi="Arial" w:cs="Arial"/>
                <w:color w:val="666666"/>
                <w:sz w:val="18"/>
                <w:szCs w:val="20"/>
              </w:rPr>
              <w:t>Formularios</w:t>
            </w:r>
          </w:p>
        </w:tc>
        <w:tc>
          <w:tcPr>
            <w:tcW w:w="0" w:type="auto"/>
            <w:vMerge w:val="restart"/>
            <w:tcBorders>
              <w:top w:val="single" w:sz="12" w:space="0" w:color="000000"/>
            </w:tcBorders>
            <w:shd w:val="clear" w:color="auto" w:fill="A6A6A6"/>
            <w:vAlign w:val="center"/>
            <w:hideMark/>
          </w:tcPr>
          <w:p w:rsidR="00B32C00" w:rsidRPr="00681204" w:rsidRDefault="00B32C00" w:rsidP="00B32C00">
            <w:pPr>
              <w:pStyle w:val="tablacentrado8"/>
              <w:spacing w:line="180" w:lineRule="atLeast"/>
              <w:rPr>
                <w:rFonts w:ascii="Arial" w:hAnsi="Arial" w:cs="Arial"/>
                <w:b/>
                <w:bCs/>
                <w:color w:val="666666"/>
                <w:sz w:val="18"/>
                <w:szCs w:val="20"/>
              </w:rPr>
            </w:pPr>
            <w:r w:rsidRPr="00681204">
              <w:rPr>
                <w:rFonts w:ascii="Arial" w:hAnsi="Arial" w:cs="Arial"/>
                <w:color w:val="666666"/>
                <w:sz w:val="18"/>
                <w:szCs w:val="20"/>
              </w:rPr>
              <w:t>Concepto</w:t>
            </w:r>
          </w:p>
        </w:tc>
      </w:tr>
      <w:tr w:rsidR="00B32C00" w:rsidRPr="00681204" w:rsidTr="00B32C00">
        <w:trPr>
          <w:trHeight w:val="276"/>
          <w:tblCellSpacing w:w="15" w:type="dxa"/>
        </w:trPr>
        <w:tc>
          <w:tcPr>
            <w:tcW w:w="0" w:type="auto"/>
            <w:vMerge/>
            <w:tcBorders>
              <w:top w:val="single" w:sz="12" w:space="0" w:color="000000"/>
            </w:tcBorders>
            <w:vAlign w:val="center"/>
            <w:hideMark/>
          </w:tcPr>
          <w:p w:rsidR="00B32C00" w:rsidRPr="00681204" w:rsidRDefault="00B32C00" w:rsidP="00B32C00">
            <w:pPr>
              <w:rPr>
                <w:rFonts w:ascii="Arial" w:eastAsia="Times New Roman" w:hAnsi="Arial" w:cs="Arial"/>
                <w:b/>
                <w:bCs/>
                <w:color w:val="666666"/>
                <w:sz w:val="18"/>
                <w:szCs w:val="20"/>
              </w:rPr>
            </w:pPr>
          </w:p>
        </w:tc>
        <w:tc>
          <w:tcPr>
            <w:tcW w:w="0" w:type="auto"/>
            <w:vMerge/>
            <w:tcBorders>
              <w:top w:val="single" w:sz="12" w:space="0" w:color="000000"/>
            </w:tcBorders>
            <w:vAlign w:val="center"/>
            <w:hideMark/>
          </w:tcPr>
          <w:p w:rsidR="00B32C00" w:rsidRPr="00681204" w:rsidRDefault="00B32C00" w:rsidP="00B32C00">
            <w:pPr>
              <w:rPr>
                <w:rFonts w:ascii="Arial" w:eastAsia="Times New Roman" w:hAnsi="Arial" w:cs="Arial"/>
                <w:b/>
                <w:bCs/>
                <w:color w:val="666666"/>
                <w:sz w:val="18"/>
                <w:szCs w:val="20"/>
              </w:rPr>
            </w:pPr>
          </w:p>
        </w:tc>
      </w:tr>
      <w:tr w:rsidR="00B32C00" w:rsidRPr="00681204" w:rsidTr="00B32C00">
        <w:trPr>
          <w:tblCellSpacing w:w="15" w:type="dxa"/>
        </w:trPr>
        <w:tc>
          <w:tcPr>
            <w:tcW w:w="0" w:type="auto"/>
            <w:vAlign w:val="center"/>
            <w:hideMark/>
          </w:tcPr>
          <w:p w:rsidR="00B32C00" w:rsidRPr="00681204" w:rsidRDefault="00B32C00" w:rsidP="00B32C00">
            <w:pPr>
              <w:pStyle w:val="tablaizquierda8"/>
              <w:rPr>
                <w:rFonts w:ascii="Arial" w:hAnsi="Arial" w:cs="Arial"/>
                <w:b/>
                <w:bCs/>
                <w:color w:val="666666"/>
                <w:sz w:val="18"/>
                <w:szCs w:val="20"/>
              </w:rPr>
            </w:pPr>
            <w:hyperlink r:id="rId11" w:tgtFrame="_blank" w:history="1">
              <w:r w:rsidRPr="00681204">
                <w:rPr>
                  <w:rFonts w:ascii="Arial" w:hAnsi="Arial" w:cs="Arial"/>
                  <w:b/>
                  <w:bCs/>
                  <w:color w:val="666666"/>
                  <w:sz w:val="18"/>
                  <w:szCs w:val="20"/>
                </w:rPr>
                <w:t>F. 102/RT</w:t>
              </w:r>
            </w:hyperlink>
            <w:r w:rsidRPr="00681204">
              <w:rPr>
                <w:rFonts w:ascii="Arial" w:hAnsi="Arial" w:cs="Arial"/>
                <w:b/>
                <w:bCs/>
                <w:color w:val="666666"/>
                <w:sz w:val="18"/>
                <w:szCs w:val="20"/>
              </w:rPr>
              <w:t>:</w:t>
            </w:r>
          </w:p>
        </w:tc>
        <w:tc>
          <w:tcPr>
            <w:tcW w:w="0" w:type="auto"/>
            <w:vAlign w:val="center"/>
            <w:hideMark/>
          </w:tcPr>
          <w:p w:rsidR="00B32C00" w:rsidRPr="00681204" w:rsidRDefault="00B32C00" w:rsidP="00B32C00">
            <w:pPr>
              <w:pStyle w:val="tablaizquierda8"/>
              <w:rPr>
                <w:rFonts w:ascii="Arial" w:hAnsi="Arial" w:cs="Arial"/>
                <w:b/>
                <w:bCs/>
                <w:color w:val="666666"/>
                <w:sz w:val="18"/>
                <w:szCs w:val="20"/>
              </w:rPr>
            </w:pPr>
            <w:r w:rsidRPr="00681204">
              <w:rPr>
                <w:rFonts w:ascii="Arial" w:hAnsi="Arial" w:cs="Arial"/>
                <w:b/>
                <w:bCs/>
                <w:color w:val="666666"/>
                <w:sz w:val="18"/>
                <w:szCs w:val="20"/>
              </w:rPr>
              <w:t xml:space="preserve">Volante de pago para el pago total en concepto de cargas sociales, que incluye el pago de ART. </w:t>
            </w:r>
          </w:p>
        </w:tc>
      </w:tr>
      <w:tr w:rsidR="00B32C00" w:rsidRPr="00681204" w:rsidTr="00B32C00">
        <w:trPr>
          <w:tblCellSpacing w:w="15" w:type="dxa"/>
        </w:trPr>
        <w:tc>
          <w:tcPr>
            <w:tcW w:w="0" w:type="auto"/>
            <w:vAlign w:val="center"/>
            <w:hideMark/>
          </w:tcPr>
          <w:p w:rsidR="00B32C00" w:rsidRPr="00681204" w:rsidRDefault="00B32C00" w:rsidP="00B32C00">
            <w:pPr>
              <w:pStyle w:val="tablaizquierda8"/>
              <w:rPr>
                <w:rFonts w:ascii="Arial" w:hAnsi="Arial" w:cs="Arial"/>
                <w:b/>
                <w:bCs/>
                <w:color w:val="666666"/>
                <w:sz w:val="18"/>
                <w:szCs w:val="20"/>
              </w:rPr>
            </w:pPr>
            <w:hyperlink r:id="rId12" w:tgtFrame="_blank" w:history="1">
              <w:r w:rsidRPr="00681204">
                <w:rPr>
                  <w:rFonts w:ascii="Arial" w:hAnsi="Arial" w:cs="Arial"/>
                  <w:b/>
                  <w:bCs/>
                  <w:color w:val="666666"/>
                  <w:sz w:val="18"/>
                  <w:szCs w:val="20"/>
                </w:rPr>
                <w:t>F. 575/RT</w:t>
              </w:r>
            </w:hyperlink>
            <w:r w:rsidRPr="00681204">
              <w:rPr>
                <w:rFonts w:ascii="Arial" w:hAnsi="Arial" w:cs="Arial"/>
                <w:b/>
                <w:bCs/>
                <w:color w:val="666666"/>
                <w:sz w:val="18"/>
                <w:szCs w:val="20"/>
              </w:rPr>
              <w:t>:</w:t>
            </w:r>
          </w:p>
        </w:tc>
        <w:tc>
          <w:tcPr>
            <w:tcW w:w="0" w:type="auto"/>
            <w:vAlign w:val="center"/>
            <w:hideMark/>
          </w:tcPr>
          <w:p w:rsidR="00B32C00" w:rsidRPr="00681204" w:rsidRDefault="00B32C00" w:rsidP="00B32C00">
            <w:pPr>
              <w:pStyle w:val="tablaizquierda8"/>
              <w:rPr>
                <w:rFonts w:ascii="Arial" w:hAnsi="Arial" w:cs="Arial"/>
                <w:b/>
                <w:bCs/>
                <w:color w:val="666666"/>
                <w:sz w:val="18"/>
                <w:szCs w:val="20"/>
              </w:rPr>
            </w:pPr>
            <w:r w:rsidRPr="00681204">
              <w:rPr>
                <w:rFonts w:ascii="Arial" w:hAnsi="Arial" w:cs="Arial"/>
                <w:b/>
                <w:bCs/>
                <w:color w:val="666666"/>
                <w:sz w:val="18"/>
                <w:szCs w:val="20"/>
              </w:rPr>
              <w:t>Volante de pago de aportes y contribuciones voluntarios y para el pago del importe de la cuota con destino a la ART cuando se trate del inicio de una nueva relación laboral.</w:t>
            </w:r>
          </w:p>
        </w:tc>
      </w:tr>
      <w:tr w:rsidR="00B32C00" w:rsidRPr="00681204" w:rsidTr="00B32C00">
        <w:trPr>
          <w:tblCellSpacing w:w="15" w:type="dxa"/>
        </w:trPr>
        <w:tc>
          <w:tcPr>
            <w:tcW w:w="0" w:type="auto"/>
            <w:vAlign w:val="center"/>
            <w:hideMark/>
          </w:tcPr>
          <w:p w:rsidR="00B32C00" w:rsidRPr="00681204" w:rsidRDefault="00B32C00" w:rsidP="00B32C00">
            <w:pPr>
              <w:pStyle w:val="tablaizquierda8"/>
              <w:rPr>
                <w:rFonts w:ascii="Arial" w:hAnsi="Arial" w:cs="Arial"/>
                <w:b/>
                <w:bCs/>
                <w:color w:val="666666"/>
                <w:sz w:val="18"/>
                <w:szCs w:val="20"/>
              </w:rPr>
            </w:pPr>
            <w:hyperlink r:id="rId13" w:tgtFrame="_blank" w:history="1">
              <w:r w:rsidRPr="00681204">
                <w:rPr>
                  <w:rFonts w:ascii="Arial" w:hAnsi="Arial" w:cs="Arial"/>
                  <w:b/>
                  <w:bCs/>
                  <w:color w:val="666666"/>
                  <w:sz w:val="18"/>
                  <w:szCs w:val="20"/>
                </w:rPr>
                <w:t>F. 1350</w:t>
              </w:r>
            </w:hyperlink>
            <w:r w:rsidRPr="00681204">
              <w:rPr>
                <w:rFonts w:ascii="Arial" w:hAnsi="Arial" w:cs="Arial"/>
                <w:b/>
                <w:bCs/>
                <w:color w:val="666666"/>
                <w:sz w:val="18"/>
                <w:szCs w:val="20"/>
              </w:rPr>
              <w:t>:</w:t>
            </w:r>
          </w:p>
        </w:tc>
        <w:tc>
          <w:tcPr>
            <w:tcW w:w="0" w:type="auto"/>
            <w:vAlign w:val="center"/>
            <w:hideMark/>
          </w:tcPr>
          <w:p w:rsidR="00B32C00" w:rsidRPr="00681204" w:rsidRDefault="00B32C00" w:rsidP="00B32C00">
            <w:pPr>
              <w:pStyle w:val="tablaizquierda8"/>
              <w:rPr>
                <w:rFonts w:ascii="Arial" w:hAnsi="Arial" w:cs="Arial"/>
                <w:b/>
                <w:bCs/>
                <w:color w:val="666666"/>
                <w:sz w:val="18"/>
                <w:szCs w:val="20"/>
              </w:rPr>
            </w:pPr>
            <w:r w:rsidRPr="00681204">
              <w:rPr>
                <w:rFonts w:ascii="Arial" w:hAnsi="Arial" w:cs="Arial"/>
                <w:b/>
                <w:bCs/>
                <w:color w:val="666666"/>
                <w:sz w:val="18"/>
                <w:szCs w:val="20"/>
              </w:rPr>
              <w:t>Volante de pago a utilizar en caso de extinción de la relación laboral para el ingreso de los aportes y/o contribuciones correspondientes al último período mensual devengado.</w:t>
            </w:r>
          </w:p>
        </w:tc>
      </w:tr>
    </w:tbl>
    <w:p w:rsidR="00B32C00" w:rsidRPr="00681204" w:rsidRDefault="00B32C00" w:rsidP="00681204">
      <w:pPr>
        <w:pStyle w:val="NormalWeb"/>
        <w:rPr>
          <w:rFonts w:ascii="Arial" w:hAnsi="Arial" w:cs="Arial"/>
          <w:b/>
          <w:bCs/>
          <w:color w:val="666666"/>
          <w:sz w:val="18"/>
          <w:szCs w:val="20"/>
        </w:rPr>
      </w:pPr>
      <w:r w:rsidRPr="00681204">
        <w:rPr>
          <w:rFonts w:ascii="Arial" w:eastAsia="Times New Roman" w:hAnsi="Arial" w:cs="Arial"/>
          <w:b/>
          <w:bCs/>
          <w:color w:val="666666"/>
          <w:sz w:val="18"/>
          <w:szCs w:val="20"/>
        </w:rPr>
        <w:t> </w:t>
      </w:r>
      <w:r w:rsidRPr="00681204">
        <w:rPr>
          <w:rFonts w:ascii="Arial" w:hAnsi="Arial" w:cs="Arial"/>
          <w:b/>
          <w:bCs/>
          <w:color w:val="666666"/>
          <w:sz w:val="18"/>
          <w:szCs w:val="20"/>
        </w:rPr>
        <w:t>Nota:</w:t>
      </w:r>
    </w:p>
    <w:p w:rsidR="00B32C00" w:rsidRDefault="00B32C00" w:rsidP="00681204">
      <w:pPr>
        <w:pStyle w:val="texto8novedades"/>
        <w:numPr>
          <w:ilvl w:val="0"/>
          <w:numId w:val="19"/>
        </w:numPr>
        <w:rPr>
          <w:rFonts w:ascii="Arial" w:hAnsi="Arial" w:cs="Arial"/>
          <w:b/>
          <w:bCs/>
          <w:color w:val="666666"/>
          <w:sz w:val="18"/>
          <w:szCs w:val="20"/>
        </w:rPr>
      </w:pPr>
      <w:bookmarkStart w:id="3" w:name="L_AL_AAC_SUSS_DESDE_ENERO_2009_q1"/>
      <w:bookmarkStart w:id="4" w:name="Nota1"/>
      <w:bookmarkEnd w:id="3"/>
      <w:bookmarkEnd w:id="4"/>
      <w:r w:rsidRPr="00681204">
        <w:rPr>
          <w:rFonts w:ascii="Arial" w:hAnsi="Arial" w:cs="Arial"/>
          <w:b/>
          <w:bCs/>
          <w:color w:val="666666"/>
          <w:sz w:val="18"/>
          <w:szCs w:val="20"/>
        </w:rPr>
        <w:t>Los aportes y contribuciones que se ingresan en cada vencimiento mensual corresponden al mes devengado anterior, mientras que la alícuota de la ART corresponde al mes en curso del vencimiento, es decir, se ingresa por adelantado</w:t>
      </w:r>
      <w:r w:rsidR="00681204">
        <w:rPr>
          <w:rFonts w:ascii="Arial" w:hAnsi="Arial" w:cs="Arial"/>
          <w:b/>
          <w:bCs/>
          <w:color w:val="666666"/>
          <w:sz w:val="18"/>
          <w:szCs w:val="20"/>
        </w:rPr>
        <w:t>.</w:t>
      </w:r>
    </w:p>
    <w:p w:rsidR="00681204" w:rsidRPr="00FF557A" w:rsidRDefault="00681204" w:rsidP="00681204">
      <w:pPr>
        <w:pStyle w:val="NormalWeb"/>
        <w:spacing w:before="0" w:beforeAutospacing="0" w:after="0" w:afterAutospacing="0"/>
        <w:jc w:val="both"/>
        <w:rPr>
          <w:rFonts w:ascii="Arial" w:hAnsi="Arial" w:cs="Arial"/>
          <w:b/>
          <w:bCs/>
          <w:caps/>
          <w:color w:val="7F870A"/>
        </w:rPr>
      </w:pPr>
      <w:r w:rsidRPr="00FF557A">
        <w:rPr>
          <w:rFonts w:ascii="Arial" w:hAnsi="Arial" w:cs="Arial"/>
          <w:b/>
          <w:bCs/>
          <w:caps/>
          <w:color w:val="7F870A"/>
        </w:rPr>
        <w:t>JURISPRUDENCIA COMERCIAL</w:t>
      </w:r>
    </w:p>
    <w:p w:rsidR="00681204" w:rsidRDefault="00681204" w:rsidP="00681204">
      <w:pPr>
        <w:pStyle w:val="NormalWeb"/>
        <w:spacing w:before="0" w:beforeAutospacing="0" w:after="0" w:afterAutospacing="0"/>
        <w:jc w:val="both"/>
        <w:rPr>
          <w:rFonts w:ascii="Arial" w:hAnsi="Arial" w:cs="Arial"/>
          <w:b/>
          <w:bCs/>
          <w:caps/>
          <w:color w:val="7F870A"/>
          <w:sz w:val="21"/>
          <w:szCs w:val="21"/>
        </w:rPr>
      </w:pPr>
    </w:p>
    <w:p w:rsidR="00681204" w:rsidRPr="00FF557A" w:rsidRDefault="00681204" w:rsidP="00681204">
      <w:pPr>
        <w:pStyle w:val="NormalWeb"/>
        <w:spacing w:before="0" w:beforeAutospacing="0" w:after="0" w:afterAutospacing="0"/>
        <w:jc w:val="both"/>
        <w:rPr>
          <w:rFonts w:ascii="Arial" w:hAnsi="Arial" w:cs="Arial"/>
          <w:b/>
          <w:bCs/>
          <w:caps/>
          <w:color w:val="7F870A"/>
          <w:sz w:val="20"/>
          <w:szCs w:val="20"/>
        </w:rPr>
      </w:pPr>
      <w:r w:rsidRPr="00FF557A">
        <w:rPr>
          <w:rFonts w:ascii="Arial" w:hAnsi="Arial" w:cs="Arial"/>
          <w:b/>
          <w:bCs/>
          <w:caps/>
          <w:color w:val="7F870A"/>
          <w:sz w:val="20"/>
          <w:szCs w:val="20"/>
        </w:rPr>
        <w:t>Un local comercial debe indemnizar a la víctima de un robo con armas ocurrido en su establecimiento: allo “Tapia Araya c/Starbucks Coffee Argentina SRL s/daños y perjuicios".</w:t>
      </w:r>
    </w:p>
    <w:p w:rsidR="00681204" w:rsidRDefault="00681204" w:rsidP="00681204">
      <w:pPr>
        <w:pStyle w:val="NormalWeb"/>
        <w:spacing w:before="0" w:beforeAutospacing="0" w:after="0" w:afterAutospacing="0"/>
        <w:jc w:val="both"/>
        <w:rPr>
          <w:rFonts w:ascii="Arial" w:hAnsi="Arial" w:cs="Arial"/>
          <w:b/>
          <w:bCs/>
          <w:caps/>
          <w:color w:val="7F870A"/>
          <w:sz w:val="21"/>
          <w:szCs w:val="21"/>
        </w:rPr>
      </w:pPr>
    </w:p>
    <w:p w:rsidR="00B32C00" w:rsidRPr="00B32C00" w:rsidRDefault="00681204" w:rsidP="00EA6378">
      <w:pPr>
        <w:pStyle w:val="Prrafodelista"/>
        <w:spacing w:line="360" w:lineRule="auto"/>
        <w:ind w:left="0"/>
        <w:jc w:val="both"/>
        <w:rPr>
          <w:rFonts w:ascii="Arial" w:eastAsia="Times New Roman" w:hAnsi="Arial" w:cs="Arial"/>
          <w:b/>
          <w:bCs/>
          <w:color w:val="666666"/>
          <w:sz w:val="18"/>
          <w:szCs w:val="20"/>
        </w:rPr>
      </w:pPr>
      <w:r>
        <w:rPr>
          <w:rFonts w:ascii="Arial" w:eastAsia="Times New Roman" w:hAnsi="Arial" w:cs="Arial"/>
          <w:b/>
          <w:bCs/>
          <w:color w:val="666666"/>
          <w:sz w:val="18"/>
          <w:szCs w:val="20"/>
        </w:rPr>
        <w:t>U</w:t>
      </w:r>
      <w:r w:rsidRPr="00681204">
        <w:rPr>
          <w:rFonts w:ascii="Arial" w:eastAsia="Times New Roman" w:hAnsi="Arial" w:cs="Arial"/>
          <w:b/>
          <w:bCs/>
          <w:color w:val="666666"/>
          <w:sz w:val="18"/>
          <w:szCs w:val="20"/>
        </w:rPr>
        <w:t xml:space="preserve">na sentencia </w:t>
      </w:r>
      <w:r>
        <w:rPr>
          <w:rFonts w:ascii="Arial" w:eastAsia="Times New Roman" w:hAnsi="Arial" w:cs="Arial"/>
          <w:b/>
          <w:bCs/>
          <w:color w:val="666666"/>
          <w:sz w:val="18"/>
          <w:szCs w:val="20"/>
        </w:rPr>
        <w:t>condenó</w:t>
      </w:r>
      <w:r w:rsidRPr="00681204">
        <w:rPr>
          <w:rFonts w:ascii="Arial" w:eastAsia="Times New Roman" w:hAnsi="Arial" w:cs="Arial"/>
          <w:b/>
          <w:bCs/>
          <w:color w:val="666666"/>
          <w:sz w:val="18"/>
          <w:szCs w:val="20"/>
        </w:rPr>
        <w:t xml:space="preserve"> a una empresa </w:t>
      </w:r>
      <w:r>
        <w:rPr>
          <w:rFonts w:ascii="Arial" w:eastAsia="Times New Roman" w:hAnsi="Arial" w:cs="Arial"/>
          <w:b/>
          <w:bCs/>
          <w:color w:val="666666"/>
          <w:sz w:val="18"/>
          <w:szCs w:val="20"/>
        </w:rPr>
        <w:t xml:space="preserve">(Starbucks </w:t>
      </w:r>
      <w:proofErr w:type="spellStart"/>
      <w:r>
        <w:rPr>
          <w:rFonts w:ascii="Arial" w:eastAsia="Times New Roman" w:hAnsi="Arial" w:cs="Arial"/>
          <w:b/>
          <w:bCs/>
          <w:color w:val="666666"/>
          <w:sz w:val="18"/>
          <w:szCs w:val="20"/>
        </w:rPr>
        <w:t>Cofee</w:t>
      </w:r>
      <w:proofErr w:type="spellEnd"/>
      <w:r>
        <w:rPr>
          <w:rFonts w:ascii="Arial" w:eastAsia="Times New Roman" w:hAnsi="Arial" w:cs="Arial"/>
          <w:b/>
          <w:bCs/>
          <w:color w:val="666666"/>
          <w:sz w:val="18"/>
          <w:szCs w:val="20"/>
        </w:rPr>
        <w:t xml:space="preserve">) </w:t>
      </w:r>
      <w:r w:rsidRPr="00681204">
        <w:rPr>
          <w:rFonts w:ascii="Arial" w:eastAsia="Times New Roman" w:hAnsi="Arial" w:cs="Arial"/>
          <w:b/>
          <w:bCs/>
          <w:color w:val="666666"/>
          <w:sz w:val="18"/>
          <w:szCs w:val="20"/>
        </w:rPr>
        <w:t xml:space="preserve">a resarcir daños y perjuicios por el robo </w:t>
      </w:r>
      <w:r>
        <w:rPr>
          <w:rFonts w:ascii="Arial" w:eastAsia="Times New Roman" w:hAnsi="Arial" w:cs="Arial"/>
          <w:b/>
          <w:bCs/>
          <w:color w:val="666666"/>
          <w:sz w:val="18"/>
          <w:szCs w:val="20"/>
        </w:rPr>
        <w:t xml:space="preserve">a un cliente </w:t>
      </w:r>
      <w:r w:rsidRPr="00681204">
        <w:rPr>
          <w:rFonts w:ascii="Arial" w:eastAsia="Times New Roman" w:hAnsi="Arial" w:cs="Arial"/>
          <w:b/>
          <w:bCs/>
          <w:color w:val="666666"/>
          <w:sz w:val="18"/>
          <w:szCs w:val="20"/>
        </w:rPr>
        <w:t xml:space="preserve">ocurrido dentro </w:t>
      </w:r>
      <w:r>
        <w:rPr>
          <w:rFonts w:ascii="Arial" w:eastAsia="Times New Roman" w:hAnsi="Arial" w:cs="Arial"/>
          <w:b/>
          <w:bCs/>
          <w:color w:val="666666"/>
          <w:sz w:val="18"/>
          <w:szCs w:val="20"/>
        </w:rPr>
        <w:t xml:space="preserve">de </w:t>
      </w:r>
      <w:r w:rsidRPr="00681204">
        <w:rPr>
          <w:rFonts w:ascii="Arial" w:eastAsia="Times New Roman" w:hAnsi="Arial" w:cs="Arial"/>
          <w:b/>
          <w:bCs/>
          <w:color w:val="666666"/>
          <w:sz w:val="18"/>
          <w:szCs w:val="20"/>
        </w:rPr>
        <w:t>su establecimiento, al concluir que correspondía al riesgo empresario garantizar la seguridad de los bienes que llevan quienes asisten al lugar, en su carácter de explotadora del comercio, y la sugerencia de contratar un seguro frente a todo riesgo que evite inconvenientes de índole económica</w:t>
      </w:r>
      <w:r w:rsidRPr="00681204">
        <w:rPr>
          <w:rFonts w:ascii="Arial" w:eastAsia="Times New Roman" w:hAnsi="Arial" w:cs="Arial"/>
          <w:color w:val="666666"/>
          <w:sz w:val="20"/>
          <w:szCs w:val="20"/>
        </w:rPr>
        <w:t>.</w:t>
      </w:r>
      <w:r w:rsidRPr="00681204">
        <w:rPr>
          <w:rFonts w:ascii="Arial" w:eastAsia="Times New Roman" w:hAnsi="Arial" w:cs="Arial"/>
          <w:color w:val="666666"/>
          <w:sz w:val="17"/>
          <w:szCs w:val="17"/>
        </w:rPr>
        <w:t xml:space="preserve"> </w:t>
      </w:r>
    </w:p>
    <w:sectPr w:rsidR="00B32C00" w:rsidRPr="00B32C00" w:rsidSect="002A1585">
      <w:headerReference w:type="default" r:id="rId14"/>
      <w:footerReference w:type="default" r:id="rId15"/>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204" w:rsidRDefault="00681204" w:rsidP="00A22916">
      <w:r>
        <w:separator/>
      </w:r>
    </w:p>
  </w:endnote>
  <w:endnote w:type="continuationSeparator" w:id="0">
    <w:p w:rsidR="00681204" w:rsidRDefault="00681204"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04" w:rsidRDefault="00681204"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FF557A" w:rsidRPr="00FF557A">
        <w:rPr>
          <w:rFonts w:asciiTheme="majorHAnsi" w:hAnsiTheme="majorHAnsi"/>
          <w:noProof/>
        </w:rPr>
        <w:t>5</w:t>
      </w:r>
    </w:fldSimple>
  </w:p>
  <w:p w:rsidR="00681204" w:rsidRDefault="00681204" w:rsidP="0063669F">
    <w:pPr>
      <w:pStyle w:val="Piedepgina"/>
    </w:pPr>
  </w:p>
  <w:p w:rsidR="00681204" w:rsidRDefault="00681204" w:rsidP="0063669F">
    <w:pPr>
      <w:pStyle w:val="Piedepgina"/>
    </w:pPr>
  </w:p>
  <w:p w:rsidR="00681204" w:rsidRDefault="00681204"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204" w:rsidRDefault="00681204" w:rsidP="00A22916">
      <w:r>
        <w:separator/>
      </w:r>
    </w:p>
  </w:footnote>
  <w:footnote w:type="continuationSeparator" w:id="0">
    <w:p w:rsidR="00681204" w:rsidRDefault="00681204"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04" w:rsidRDefault="00681204"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Nº6-19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0">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6">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8"/>
  </w:num>
  <w:num w:numId="7">
    <w:abstractNumId w:val="16"/>
  </w:num>
  <w:num w:numId="8">
    <w:abstractNumId w:val="15"/>
  </w:num>
  <w:num w:numId="9">
    <w:abstractNumId w:val="9"/>
  </w:num>
  <w:num w:numId="10">
    <w:abstractNumId w:val="14"/>
  </w:num>
  <w:num w:numId="11">
    <w:abstractNumId w:val="8"/>
  </w:num>
  <w:num w:numId="12">
    <w:abstractNumId w:val="10"/>
  </w:num>
  <w:num w:numId="13">
    <w:abstractNumId w:val="11"/>
  </w:num>
  <w:num w:numId="14">
    <w:abstractNumId w:val="3"/>
  </w:num>
  <w:num w:numId="15">
    <w:abstractNumId w:val="5"/>
  </w:num>
  <w:num w:numId="16">
    <w:abstractNumId w:val="2"/>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B1065"/>
    <w:rsid w:val="000B25E4"/>
    <w:rsid w:val="000C4B1E"/>
    <w:rsid w:val="000C4F4D"/>
    <w:rsid w:val="000C519C"/>
    <w:rsid w:val="000C584E"/>
    <w:rsid w:val="000C7BA3"/>
    <w:rsid w:val="000D39D2"/>
    <w:rsid w:val="000D70E0"/>
    <w:rsid w:val="000D70E8"/>
    <w:rsid w:val="000E0356"/>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7B89"/>
    <w:rsid w:val="002312B9"/>
    <w:rsid w:val="00232F64"/>
    <w:rsid w:val="00233626"/>
    <w:rsid w:val="00233E5D"/>
    <w:rsid w:val="00234178"/>
    <w:rsid w:val="002350C4"/>
    <w:rsid w:val="00236C10"/>
    <w:rsid w:val="00242334"/>
    <w:rsid w:val="002462C5"/>
    <w:rsid w:val="00251B56"/>
    <w:rsid w:val="002551A7"/>
    <w:rsid w:val="00257FF4"/>
    <w:rsid w:val="002623BD"/>
    <w:rsid w:val="002624C4"/>
    <w:rsid w:val="0026302D"/>
    <w:rsid w:val="002638FA"/>
    <w:rsid w:val="0026757F"/>
    <w:rsid w:val="00270353"/>
    <w:rsid w:val="00271C49"/>
    <w:rsid w:val="002763D5"/>
    <w:rsid w:val="002829F3"/>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2500"/>
    <w:rsid w:val="002C3ED4"/>
    <w:rsid w:val="002C5F80"/>
    <w:rsid w:val="002D15E2"/>
    <w:rsid w:val="002D1AF7"/>
    <w:rsid w:val="002D2CE9"/>
    <w:rsid w:val="002D5824"/>
    <w:rsid w:val="002D6A6D"/>
    <w:rsid w:val="002D7BF7"/>
    <w:rsid w:val="002E3DF1"/>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B12"/>
    <w:rsid w:val="0042600F"/>
    <w:rsid w:val="004267D1"/>
    <w:rsid w:val="00426D05"/>
    <w:rsid w:val="00430834"/>
    <w:rsid w:val="00430CD3"/>
    <w:rsid w:val="00437F8F"/>
    <w:rsid w:val="00443CD0"/>
    <w:rsid w:val="004503E0"/>
    <w:rsid w:val="00450B7D"/>
    <w:rsid w:val="00455005"/>
    <w:rsid w:val="00455EBD"/>
    <w:rsid w:val="00456DA9"/>
    <w:rsid w:val="00462760"/>
    <w:rsid w:val="0047057E"/>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617A"/>
    <w:rsid w:val="00593D64"/>
    <w:rsid w:val="00596447"/>
    <w:rsid w:val="00597816"/>
    <w:rsid w:val="005A16D0"/>
    <w:rsid w:val="005A1951"/>
    <w:rsid w:val="005A299B"/>
    <w:rsid w:val="005A3556"/>
    <w:rsid w:val="005A5A73"/>
    <w:rsid w:val="005B0199"/>
    <w:rsid w:val="005B03A9"/>
    <w:rsid w:val="005B2CE4"/>
    <w:rsid w:val="005C1240"/>
    <w:rsid w:val="005C33D3"/>
    <w:rsid w:val="005D001F"/>
    <w:rsid w:val="005D1183"/>
    <w:rsid w:val="005D35CD"/>
    <w:rsid w:val="005D7ED3"/>
    <w:rsid w:val="005E2882"/>
    <w:rsid w:val="005E4617"/>
    <w:rsid w:val="005E50AD"/>
    <w:rsid w:val="005E579B"/>
    <w:rsid w:val="005E659B"/>
    <w:rsid w:val="005E68B6"/>
    <w:rsid w:val="005F0207"/>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50DD9"/>
    <w:rsid w:val="00856675"/>
    <w:rsid w:val="00857156"/>
    <w:rsid w:val="0086182D"/>
    <w:rsid w:val="00861F2E"/>
    <w:rsid w:val="008637DE"/>
    <w:rsid w:val="00865723"/>
    <w:rsid w:val="00865DEA"/>
    <w:rsid w:val="00872D6C"/>
    <w:rsid w:val="0087497C"/>
    <w:rsid w:val="008753DB"/>
    <w:rsid w:val="0087707A"/>
    <w:rsid w:val="0088764F"/>
    <w:rsid w:val="00894C64"/>
    <w:rsid w:val="0089551F"/>
    <w:rsid w:val="00897BE8"/>
    <w:rsid w:val="008A40E4"/>
    <w:rsid w:val="008A4816"/>
    <w:rsid w:val="008B03B5"/>
    <w:rsid w:val="008B169F"/>
    <w:rsid w:val="008B173D"/>
    <w:rsid w:val="008B48AF"/>
    <w:rsid w:val="008B4F6A"/>
    <w:rsid w:val="008B6E61"/>
    <w:rsid w:val="008C04BC"/>
    <w:rsid w:val="008C33A4"/>
    <w:rsid w:val="008C6A53"/>
    <w:rsid w:val="008C7B0A"/>
    <w:rsid w:val="008D06FE"/>
    <w:rsid w:val="008D1DA1"/>
    <w:rsid w:val="008D655B"/>
    <w:rsid w:val="008E201C"/>
    <w:rsid w:val="008E3464"/>
    <w:rsid w:val="008E3E10"/>
    <w:rsid w:val="008E6731"/>
    <w:rsid w:val="008E7F92"/>
    <w:rsid w:val="008F3757"/>
    <w:rsid w:val="008F5DA5"/>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7871"/>
    <w:rsid w:val="00954837"/>
    <w:rsid w:val="00955F3D"/>
    <w:rsid w:val="00957658"/>
    <w:rsid w:val="009621A7"/>
    <w:rsid w:val="00962DCF"/>
    <w:rsid w:val="00963D50"/>
    <w:rsid w:val="00964163"/>
    <w:rsid w:val="0096547D"/>
    <w:rsid w:val="00970515"/>
    <w:rsid w:val="00975EA7"/>
    <w:rsid w:val="00982F05"/>
    <w:rsid w:val="00983382"/>
    <w:rsid w:val="00983817"/>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F9A"/>
    <w:rsid w:val="00AD248D"/>
    <w:rsid w:val="00AD5AFC"/>
    <w:rsid w:val="00AE1087"/>
    <w:rsid w:val="00AE5CEE"/>
    <w:rsid w:val="00AE759D"/>
    <w:rsid w:val="00AE7CBE"/>
    <w:rsid w:val="00AF0C0E"/>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E96"/>
    <w:rsid w:val="00C61E97"/>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5910"/>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433"/>
    <w:rsid w:val="00E52026"/>
    <w:rsid w:val="00E5555E"/>
    <w:rsid w:val="00E576B6"/>
    <w:rsid w:val="00E57F81"/>
    <w:rsid w:val="00E61074"/>
    <w:rsid w:val="00E661C4"/>
    <w:rsid w:val="00E66BAC"/>
    <w:rsid w:val="00E700E6"/>
    <w:rsid w:val="00E711B8"/>
    <w:rsid w:val="00E76F6B"/>
    <w:rsid w:val="00E77486"/>
    <w:rsid w:val="00E80ADB"/>
    <w:rsid w:val="00E810A9"/>
    <w:rsid w:val="00E825AE"/>
    <w:rsid w:val="00E86B90"/>
    <w:rsid w:val="00E90354"/>
    <w:rsid w:val="00E9066D"/>
    <w:rsid w:val="00E932D3"/>
    <w:rsid w:val="00EA2446"/>
    <w:rsid w:val="00EA482E"/>
    <w:rsid w:val="00EA6378"/>
    <w:rsid w:val="00EA770C"/>
    <w:rsid w:val="00EB4775"/>
    <w:rsid w:val="00EB53F9"/>
    <w:rsid w:val="00EB5F3E"/>
    <w:rsid w:val="00ED189B"/>
    <w:rsid w:val="00ED4588"/>
    <w:rsid w:val="00ED4841"/>
    <w:rsid w:val="00ED64C2"/>
    <w:rsid w:val="00EE2967"/>
    <w:rsid w:val="00EE5513"/>
    <w:rsid w:val="00EE618C"/>
    <w:rsid w:val="00EE7AB9"/>
    <w:rsid w:val="00EF21F4"/>
    <w:rsid w:val="00EF436D"/>
    <w:rsid w:val="00EF4ABA"/>
    <w:rsid w:val="00EF5EA1"/>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6404"/>
    <w:rsid w:val="00F64307"/>
    <w:rsid w:val="00F643AE"/>
    <w:rsid w:val="00F6464B"/>
    <w:rsid w:val="00F65B24"/>
    <w:rsid w:val="00F73827"/>
    <w:rsid w:val="00F7492C"/>
    <w:rsid w:val="00F74E58"/>
    <w:rsid w:val="00F76356"/>
    <w:rsid w:val="00F7664B"/>
    <w:rsid w:val="00F76B6D"/>
    <w:rsid w:val="00F772E0"/>
    <w:rsid w:val="00F81BC7"/>
    <w:rsid w:val="00F8276D"/>
    <w:rsid w:val="00F84874"/>
    <w:rsid w:val="00F84B85"/>
    <w:rsid w:val="00F900D5"/>
    <w:rsid w:val="00F9073B"/>
    <w:rsid w:val="00F9099C"/>
    <w:rsid w:val="00F93AE9"/>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uiPriority w:val="99"/>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ol.errepar.com/sitios/eolgestion/Legislacion/20110807090840675.docxhtml" TargetMode="External"/><Relationship Id="rId13" Type="http://schemas.openxmlformats.org/officeDocument/2006/relationships/hyperlink" Target="http://eolgestion.errepar.com/sitios/eolgestion/Agenda/20141031103956009.doc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olgestion.errepar.com/sitios/eolgestion/Agenda/20130730111806061.doc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gestion.errepar.com/sitios/eolgestion/Agenda/20141031103544030.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ol.errepar.com/sitios/ver/html/20190111105002023.html" TargetMode="External"/><Relationship Id="rId4" Type="http://schemas.openxmlformats.org/officeDocument/2006/relationships/settings" Target="settings.xml"/><Relationship Id="rId9" Type="http://schemas.openxmlformats.org/officeDocument/2006/relationships/hyperlink" Target="http://eolgestion.errepar.com/sitios/eolgestion/Legislacion/20141031071756863.docx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E1BDF-5624-42C3-9993-8C181B4DB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Pages>
  <Words>1699</Words>
  <Characters>9349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6</cp:revision>
  <dcterms:created xsi:type="dcterms:W3CDTF">2019-02-09T16:12:00Z</dcterms:created>
  <dcterms:modified xsi:type="dcterms:W3CDTF">2019-02-09T20:09:00Z</dcterms:modified>
</cp:coreProperties>
</file>